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56.0" w:type="dxa"/>
        <w:jc w:val="left"/>
        <w:tblInd w:w="2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56"/>
        <w:tblGridChange w:id="0">
          <w:tblGrid>
            <w:gridCol w:w="8356"/>
          </w:tblGrid>
        </w:tblGridChange>
      </w:tblGrid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deuu118a8ehj" w:id="0"/>
            <w:bookmarkEnd w:id="0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העליון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בשבתו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כבית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לצדק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bidi w:val="1"/>
        <w:jc w:val="right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3545-11-25 </w:t>
        <w:br w:type="textWrapping"/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18615-1125</w:t>
      </w:r>
    </w:p>
    <w:p w:rsidR="00000000" w:rsidDel="00000000" w:rsidP="00000000" w:rsidRDefault="00000000" w:rsidRPr="00000000" w14:paraId="00000005">
      <w:pPr>
        <w:bidi w:val="1"/>
        <w:ind w:right="-142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0"/>
        </w:rPr>
        <w:t xml:space="preserve"> </w:t>
      </w:r>
    </w:p>
    <w:tbl>
      <w:tblPr>
        <w:tblStyle w:val="Table2"/>
        <w:bidiVisual w:val="1"/>
        <w:tblW w:w="83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3"/>
        <w:gridCol w:w="4955"/>
        <w:gridCol w:w="7"/>
        <w:tblGridChange w:id="0">
          <w:tblGrid>
            <w:gridCol w:w="3363"/>
            <w:gridCol w:w="4955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ind w:right="-295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וילנר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אלכס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שטיין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כנפי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שטייניץ</w:t>
            </w:r>
          </w:p>
          <w:p w:rsidR="00000000" w:rsidDel="00000000" w:rsidP="00000000" w:rsidRDefault="00000000" w:rsidRPr="00000000" w14:paraId="0000000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3545-11-25:</w:t>
            </w:r>
          </w:p>
          <w:p w:rsidR="00000000" w:rsidDel="00000000" w:rsidP="00000000" w:rsidRDefault="00000000" w:rsidRPr="00000000" w14:paraId="0000000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18615-11-25: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אביחי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בוארון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זכויות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האזרח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מינהל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תקין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ועידוד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התיישבות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  <w:br w:type="textWrapping"/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הדמוקרטיה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הישראלית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ind w:left="2160" w:firstLine="0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3545-11-25:</w:t>
            </w:r>
          </w:p>
          <w:p w:rsidR="00000000" w:rsidDel="00000000" w:rsidP="00000000" w:rsidRDefault="00000000" w:rsidRPr="00000000" w14:paraId="0000001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18615-11-25:</w:t>
            </w:r>
          </w:p>
          <w:p w:rsidR="00000000" w:rsidDel="00000000" w:rsidP="00000000" w:rsidRDefault="00000000" w:rsidRPr="00000000" w14:paraId="0000001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להליך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2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אלטמן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לפרקליט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המדינה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br w:type="textWrapping"/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נציב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תלונות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הציבור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שופטים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פרקליטות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המדינה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הפרקליטות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הצבאית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br w:type="textWrapping"/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  <w:br w:type="textWrapping"/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  <w:br w:type="textWrapping"/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  <w:br w:type="textWrapping"/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. </w:t>
              <w:br w:type="textWrapping"/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בחרנו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בחיים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! –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משפחות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שכולות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ונפגעי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פעולות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  <w:br w:type="textWrapping"/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הרצל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  <w:br w:type="textWrapping"/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בועז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קוקיא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זהבה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דיכטר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10.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יובל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מוסלי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כפיר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גבע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חזי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כהן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אייל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רבי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סימה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חסון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-500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 –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ארגון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צעדת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אימהות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ללוחמים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הניצחון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אסתר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אבירם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טליה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דגן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חושן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איריס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ברנשטיין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יגאל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תמם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20.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ליאת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240" w:befor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התנגדות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לצו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תנאי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3545-11-25:</w:t>
            </w:r>
          </w:p>
          <w:p w:rsidR="00000000" w:rsidDel="00000000" w:rsidP="00000000" w:rsidRDefault="00000000" w:rsidRPr="00000000" w14:paraId="0000002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18615-11-25: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3545-11-25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5-2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18615-11-25: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18615-11-25:</w:t>
            </w:r>
          </w:p>
          <w:p w:rsidR="00000000" w:rsidDel="00000000" w:rsidP="00000000" w:rsidRDefault="00000000" w:rsidRPr="00000000" w14:paraId="0000002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2-1:</w:t>
            </w:r>
          </w:p>
          <w:p w:rsidR="00000000" w:rsidDel="00000000" w:rsidP="00000000" w:rsidRDefault="00000000" w:rsidRPr="00000000" w14:paraId="0000002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4-3:</w:t>
            </w:r>
          </w:p>
          <w:p w:rsidR="00000000" w:rsidDel="00000000" w:rsidP="00000000" w:rsidRDefault="00000000" w:rsidRPr="00000000" w14:paraId="0000002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7-5:</w:t>
            </w:r>
          </w:p>
          <w:p w:rsidR="00000000" w:rsidDel="00000000" w:rsidP="00000000" w:rsidRDefault="00000000" w:rsidRPr="00000000" w14:paraId="0000003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20-8:</w:t>
            </w:r>
          </w:p>
          <w:p w:rsidR="00000000" w:rsidDel="00000000" w:rsidP="00000000" w:rsidRDefault="00000000" w:rsidRPr="00000000" w14:paraId="0000003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יצחק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דורון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ברקת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הוניגמן</w:t>
            </w:r>
          </w:p>
          <w:p w:rsidR="00000000" w:rsidDel="00000000" w:rsidP="00000000" w:rsidRDefault="00000000" w:rsidRPr="00000000" w14:paraId="0000003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רוזנברג</w:t>
            </w:r>
          </w:p>
          <w:p w:rsidR="00000000" w:rsidDel="00000000" w:rsidP="00000000" w:rsidRDefault="00000000" w:rsidRPr="00000000" w14:paraId="0000003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ציון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אמיר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ינון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סרטל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לזר</w:t>
            </w:r>
          </w:p>
          <w:p w:rsidR="00000000" w:rsidDel="00000000" w:rsidP="00000000" w:rsidRDefault="00000000" w:rsidRPr="00000000" w14:paraId="0000004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אפרים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דמרי</w:t>
            </w:r>
          </w:p>
          <w:p w:rsidR="00000000" w:rsidDel="00000000" w:rsidP="00000000" w:rsidRDefault="00000000" w:rsidRPr="00000000" w14:paraId="0000004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עדי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קידר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פולסקי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נתי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רום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אלחנן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מירון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איתמר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מירון</w:t>
            </w:r>
          </w:p>
          <w:p w:rsidR="00000000" w:rsidDel="00000000" w:rsidP="00000000" w:rsidRDefault="00000000" w:rsidRPr="00000000" w14:paraId="0000004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זהבה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גור</w:t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36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David" w:cs="David" w:eastAsia="David" w:hAnsi="David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u w:val="single"/>
                <w:rtl w:val="1"/>
              </w:rPr>
              <w:t xml:space="preserve">פסק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u w:val="single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u w:val="single"/>
                <w:rtl w:val="1"/>
              </w:rPr>
              <w:t xml:space="preserve">דין</w:t>
            </w:r>
          </w:p>
        </w:tc>
      </w:tr>
    </w:tbl>
    <w:bookmarkStart w:colFirst="0" w:colLast="0" w:name="bdhgck7osqf1" w:id="1"/>
    <w:bookmarkEnd w:id="1"/>
    <w:p w:rsidR="00000000" w:rsidDel="00000000" w:rsidP="00000000" w:rsidRDefault="00000000" w:rsidRPr="00000000" w14:paraId="0000004B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360" w:lineRule="auto"/>
        <w:jc w:val="both"/>
        <w:rPr>
          <w:rFonts w:ascii="Century" w:cs="Century" w:eastAsia="Century" w:hAnsi="Century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יעל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וילנר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מבוא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ברקע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נחשדים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העומדת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הסתעפויות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שיפורטו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בהרחבה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הובילו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לסיטואציה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תידרש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התעורר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במילוי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המחלוקת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מנגד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והעותרת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18615-11-25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נחרץ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בייחוד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מורכבותה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ותקדימיותה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הרגישות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יגיעו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להסכמה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סברנו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ומורכב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מחייב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אחריותם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ולעשות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מאמץ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ניכר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מוסכם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לסוגייה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מהצדדים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עקרוניות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נטועות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בעומק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תפיסת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לעוצמת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הרגישות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מאפיינת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להסכמה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לצערנו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להסכמות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בסוגיה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הרקע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לעתירות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שנפתחה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כלואים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הודלפו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לאמצעי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ממצלמות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האבטחה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הוצגו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בתקשורת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כתיעוד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שהודלפו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פורסמו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בתקשורת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6.8.2024,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הוגשו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התבקש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תבוצע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בטענה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33366-09-24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34183-10-24).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בתגובה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מקדימה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להפקיע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2.1.2025,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למחרת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למראית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מתבקשים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לעדכן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נכונותם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8.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17.1.2025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שיוצגו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כמקובל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מעדכנת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2.1.2025,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15.1.2025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שהוצגה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וחקיקה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בינלאומי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מהמחלקות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שבגדרו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שנכחו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תמימי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וחיילים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תיארו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הנוכחים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אוחזים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ועצמאי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ובבחינת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ומבלי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9.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נמחקו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2.2.2025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ארז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מינץ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סוגיית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הוטלה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לכתחילה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החשדות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הנטענים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לפלילים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ובראשם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מקהה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שנטענו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לתמונה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העדכנית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להפקעת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המוסמכים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10.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כחצי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לסיומו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הוגשה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29.8.2025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74997-08-25),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שייקבע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ויכולותיו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לחלופין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למשיבים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שמבוצע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בתגובת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17.9.2025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עדכון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16.9.2025,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שנערכו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המקדימה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וממצאיהן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הוחלט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והמשנה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הללו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למיצוי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תוחלת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שנכון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בירור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וגילוי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הראייתית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שנאספה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המקדימה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המעמיקה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ובראשונה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נמצאה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אינדיקציה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ראשונית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התוחלת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לביסוס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ראייתית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מפלילה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נמוכה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בנמצא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והטומנות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בחובן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פוטנציאל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התשתית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העובדתית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שבבסיס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השתנתה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מהותי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אקטואלית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יטענו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החלופי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שנתבקש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המקדימה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יטענו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להימחק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11.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ועומדת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31.10.2025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לרמטכ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לתקשורת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ומסרה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12.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למחרת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"1.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מתוקף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-1959 [...]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שהינך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השמיץ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הוציא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דיבתם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ופגע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באינטרסים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והחקירתיים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שנאלצה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מתייחסת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נובעת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ממעורבותך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הגבוהה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הפחות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תידרש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נובעת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ממעורבות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והחקירתיים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שהתנהלו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שקריים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בתשובות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שפיקחו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שנגררה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ארוכים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הטעיתם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בהודעתכם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16.9.2025 [...].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התגלה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בבירור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מעמיק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חלקכם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ונמרצת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שהביאה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רחוקה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מהאמת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לייעוץ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לחדול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מיידי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וספיחיה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13.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למחרת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נעדר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-1959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מסמיך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ליטול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ולהעבירן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להנחות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להימנע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ובאחריותם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למאפייני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וחשיבותה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מטופלת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וראש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והמודיעין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במשטרת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מקודמת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למכתבו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וציין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דוחה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הנאמר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14.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הוגשה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3545-11-25,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התבקשנו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ותשובות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15.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וציין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צירף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1.11.2025.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להודעתו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ובטרם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התייעצות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בתנאים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וניסיון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בתחומי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ובגופים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יזכה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החיוני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כשמדובר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המורכבת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בכוונתו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תעניק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השירותים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וביקש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ההיוועצות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16.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במכתבו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בנובמבר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ליטול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ההיוועצות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בנדון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לגרוע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מעובדת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וראוי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17.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4.11.2025,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פורסמה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הדוברות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למכתב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לממלא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שיוחלט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בכפוף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18.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במקביל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במילוי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לטיפולה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יועמ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3545-11-25.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19.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בשאלה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הנרטיב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וכולל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ולבקש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ייתכן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תשקול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שהפצ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ייתכן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שכיוון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נערכה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בוצע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כנדרש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לשמירה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הבכירים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הנראה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20.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ואמינה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שתבחן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הנזק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מעגל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להתייחס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למעורבות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בהנחה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שיתברר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שהחשודים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יידרשו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לאסוף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ממצאים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השגוי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שהחשד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יופנה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להתעורר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שיצטרך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למכלול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ובוודאי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הנכונה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והאחראית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והימנעות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המעורבים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טבעי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לאירועים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בעקיפין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במעשיו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משמעותי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לשמירה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ולנטרל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החשש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ייווצר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בשאלה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ייווצר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לגופו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רמז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לבסוף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המעורבות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מוקדמים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ובהיותה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שנושאת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באחריות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הכוללת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מתמקד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אצל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להימנע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ממעורבות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מופנית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לתפקידים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ומטבע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שישנם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משמעותי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ההימנעות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ועליהם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ובמידת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עריכת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למעורבותה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במראית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21.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במוקד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מתוקף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התייעצות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והחקירתיים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22.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פורסמה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שנועץ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הוציא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ומלווים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וביקשם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לשתף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שהודיע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בכפוף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23.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6.11.2025,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במכתב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קוימה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היוועצות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כנדרש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-2022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ובעצמאות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לעקוף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הביניים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העוסקות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לפיטורי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שהתקבלה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הפסיקה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גובשה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בירור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שהוביל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שהנחות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מרכזיות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וממילא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מראשיתה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הימנעות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שמצוי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ימשיכו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כמקובל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יועץ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לנמק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השינוי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הוטל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שנבחר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24.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למחרת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7.11.2025,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הוגשה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18615-11-25,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שבגדרה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6.11.2025,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25.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7.11.2025,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מקדמית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3545-11-25,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וציינה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שהתקבלה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הפסיקה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מבוקש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תימנע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אקטואלית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להימחק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26.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9.11.2025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איחוד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3545-11-25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18615-11-25.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קבענו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דיוניים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גרידא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הזמנים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ומבלי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המופנה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כמבוקש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27.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11.11.2025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קיימנו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שתכליתן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להסכמות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והורינו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מעדכנות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13.11.2025.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שהגישו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להסכמות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בטענותיהם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3545-11-25 –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28.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התבקש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ותשובות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הצהירה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הפסיקה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אקטואלית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להידחות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29.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והלאה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18615-11-25.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30.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ליטול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מסמיך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חתומה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בניהול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לרוחו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להחליפו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נבצר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ומוסמכים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31.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בחשד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מתעצמת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שדרשו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להוציא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שנחשדו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תבוצע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שעבודת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להוציא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שדרשו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להוציא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קרוב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לוודאי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יידרשו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תעמיד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בפוטנציאל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מובהק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להוביל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לשיבוש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שמצויה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ובנחישות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שמקים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לשבש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ולהעלים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בהיעדר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מחלוקת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תדרוש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הכפופים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נקודתי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לדרוש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להסדיר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שמותיר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בהתערבות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מתמצית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במינוי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מתערב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לניהול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תעמיק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נגרמה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פעמית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ומוגבלת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נבצר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אליעזר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ריבלין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במקביל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לתפקידו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היוועצות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ומעמיק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שעומד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32.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וכמקובל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בתיקים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בתחילה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הסייבר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להיוועצות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לאישור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הובאו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הטיפול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נמשך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המוסמכים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6.11.2025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למשטרה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מתערבת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בקביעת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מעוגן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שקיימת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מותנית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בקיומו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מחליטה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בתיאום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המחדל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נימוק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וחריג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ועומדת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בתוקפה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אוטומטי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המנהלי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להתבטל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קוימה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היוועצות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שקובעת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ומוחלט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המבקשים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להצטרף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להליך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33.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הוגשו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הצטרפות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במעמד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המבקשים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ארבעתם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נאשמים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כלואים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החומרה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שבמעורבות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המקדימה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שהתנהלה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וטענו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מתחייבת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הרחקתה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-12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צעדת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אימהות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ללוחמים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הניצחון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ללוחמים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ובלתי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ובתוך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לתמוך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עמותת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בחרנו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משפחות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ונפגעי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הרצל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ובועז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קוקיא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הקודמות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33366-09-25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74997-08-25),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מלקחת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ומתחייבת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בירור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והכרעה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34.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35.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מבסיס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והחקירתיים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הוטל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נוגעים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השיבוש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כמבואר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להשתתפותה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המתנהלת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ולפקח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36.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המינהלי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מורכב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נהוג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לשלושה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אבחן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המינהלי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ברבדים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37.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כמבואר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התייעצות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שנתמנה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644" w:right="1276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38.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נתמנתה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שעניינו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שהמינוי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39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לתוספת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39.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עוסק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מטיעון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שהוקנתה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מסמיך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מהטיעון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מעוגנת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בהסמכה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מרחיקת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להניח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כיוונה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61-60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-1982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החסד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קובעים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61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הועבר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חומר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60,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תובע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להורות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למשטרה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להוסיף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לחקור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מצא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צורך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לשם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לשם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יעיל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המשפט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מעוגנות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40.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מלשונו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ומתכליתו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מלהפעילה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היחיד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לטענתה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הבהירה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נסמכת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שמשמעות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שהטענה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שנתמנה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בהגדרה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עסקינן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כמבואר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ההגדרה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ההגדרה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שנתמנה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וממילא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לטיעון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עיגון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שעניינה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-1959",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-1977,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אייסמן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9336;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שהודעה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מציינת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37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תשובתה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לטענתה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מההודעה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בהיעדר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ומצד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לטענתה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בטיעוניה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לאחוז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קצותיו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41.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שעניינו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שמגדיר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תובעים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תובעים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לאצול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42.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מהשפעות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ומלחצים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בשיטתנו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באורח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משמעותי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המסורות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מתוקף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ומכוחו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בטענה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מסמיך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תובעים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להוביל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בהיעדר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43.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וממילא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44.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שוכנעתי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בהיעדר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45.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מינהליות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שמתקבלות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המינהלי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אבחן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46.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וניתוקה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מהשפעות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המיניסטריאלי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סטטוטורית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משימוש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המחדל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המוסמכים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מטפלים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נימוק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וחריג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לחרוג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מאחורי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47.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מיניסטריאלי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למעמדו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בשיטתנו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מהשפעות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שהדגשתי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באחת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מיניסטריאלי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בניהולן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ושוויון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8987/22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46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(2.1.2025)).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48.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שיובהר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מאופיין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וחריגות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49.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נוגעות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המתנהלת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וההליכים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שהתנהלו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בעקבותיה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שתואר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הדרגים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הגבוהים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13, 15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להתפתחות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6.11.2025: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כיווני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בהשלמות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מסתמן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לאישום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למתן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לחשדות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למעשיהם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ואילו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לברר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להשפיע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הנרטיב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מיטב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שיפוטו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כיוונים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50.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להתבצע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להתעורר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שמתעוררים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ליכולתם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51.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נכתב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לקשיים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הנמנע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תשקול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לאפשרות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שהפצ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שיתבסס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בכיוון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ייתכן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שפיקח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להפריך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בתשאול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והגורמים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שאמורים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כיווני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המתבקשים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וכיצד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לנווט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מכרעת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פוטנציאל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נערכה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עצימת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עיניים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נערך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כיאות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לשקם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ואמינה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שתבחן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הנזק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מעגל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הנמנע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שהגורם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יידרש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להתייחס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למעורבות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יתברר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שהחשודים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ושהם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הונו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לאסוף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וממצאים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הצדדים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ובמסגרתו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הועבר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השגוי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וממצאים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שיהפכו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לחומר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לבחון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גירסאות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הנמנע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ינסו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ויציגו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וליועצת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הפחות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יצריכו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והתייחסות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למותר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להעיר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שיצטרך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למכלול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ובוודאי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להפחית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הראייתי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ואולי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תוצג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בצדק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שמשקפת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הנרטיב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אובייקטיבית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להתעורר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קודמת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החשד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יופנה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52.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במובן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בבקשה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הוצאת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מגורמי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15.1.2025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לאפשרות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ברשויות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וחקיקה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בינלאומי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מהמחלקות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שצוין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בסיכום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נכתב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"11.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מקובלת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ולהלן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12.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שצריכה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לטפל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וחיילים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המדובר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המיומנת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לטפל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מהסוג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הנבדק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ונטולת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לימד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ומבוצעת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בהנחיית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4.1114.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13.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ובבחינת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ומבלי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שהדבר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מנגנון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אלטמן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הנבדק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מיומנות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ונסיון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2069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שתתקבל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ובאמצעות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כמקובל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53.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שהוביל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להדלפת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תמימות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תיארו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המתקיימת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ומתנהלת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הצליח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אינדיקציה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ראשונית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בנמצא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בחובן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פוטנציאל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17.9.2025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74994-08-25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שבדיעבד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נודע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וקיימים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54.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הנמנע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הנוכחים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15.1.2025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שצוין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שיצטרך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למכלול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ובוודאי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55.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15.1.2025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להיקף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המשתתפים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ולמעמדם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ובהינתן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הכפיפות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בפגישה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שנטלו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56.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כידוע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השיקולים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הקונקרטי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במציאות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משברית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ובייחוד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ההצדקה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המשברי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הסיטואציה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החריגה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מדגימה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מובהק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סיטואציה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הוטל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לגישת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התקבלה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מושכלת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ביניים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57.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בטענות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לבסס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הקיצוניות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שהודגש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בשיטתנו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כלשהו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עסקינן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קיצונית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וחריגה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שמצדיקה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מתוחמת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ומוגבלת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שיובהר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בתוצאה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תיחום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58.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המגבלות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אציין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היבטים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להקהות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59.</w:t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בנטילת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והשוו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34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מאפשרת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במישרין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תועברנה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מתערב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בהתערבות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עקיפה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שעשויה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להתאפשר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קיצוניות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וחריגות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60.</w:t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שמופעלות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להסמיך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מתייחסת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שיעסקו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בליוויה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ממחלקת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הסייבר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פיקחה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מומחיותו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ואחריותו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להיעזר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61.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להדגיש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בהכרה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ונדירות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מדבריו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מלבדו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[...]".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62.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להיבטים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מקהים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והקיצוניות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כפופה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שעיקרן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נועדו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יופעל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63.</w:t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המגבלות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 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בהיותם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המומחיות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והאחריות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הקיצוניות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והנדירות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  <w:t xml:space="preserve">[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להודעתו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שהוזכרה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הוטל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"].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</w:t>
        <w:tab/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מובהק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תופעל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64.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לבסוף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נוגעות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להדגיש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תוקפה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כלשון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6.11.2025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65.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להחלטתו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שצוין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בתנאים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שנקבעו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מובהק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66.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וכנטען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העותרת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67. 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שכותרתו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בפעילות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מסדיר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בעיסוקים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לענייננו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)(1),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ועובדי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לשמש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במישרין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בעקיפין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פשוטה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וברורה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ולפיה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תוחם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למאפיינים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כלשהם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ומוגדר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בקבלת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69.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מתיישב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מסמיך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בעבודתם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בנציבות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שמסייגת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האיסור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70.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כוונת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המחוקק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שביסוד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מובילה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למסקנה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לטענת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מלמד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כוונת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המחוקק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שנערך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בוועדת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לקריאה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נידונה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ולעובדי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להסדרי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שקבועים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בחיקוקים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תחילה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נידונו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בתנאים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במילוי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נידון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שקובע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והוחלט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לאמצו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ביחס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7(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)(1)-(3)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22(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)(1)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מבקר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-1958 [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פרוטוקול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ישיבת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ועדת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החוקה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ומשפט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הכנסת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-15, 23-22 (23.10.2001);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והשוו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להסדרים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שנידונו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שם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מתירים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נוסף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בתנאים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החל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חברי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כנסת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סעיפים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13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-13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חסינות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חברי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הכנסת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זכויותיהם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וחובותיהם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התשי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-1951;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החל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11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יסוד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השפיטה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ופרק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שישי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ופרק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שביעי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לכללי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אתיקה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התשס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-2007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להלן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כללי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אתיקה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פנימיים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8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הביקורת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הפנימית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תשנ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-1992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נחקק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11(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)(1)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בנוסח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שלפנינו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[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והשוו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להסדר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שנקבע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מייצגי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בערכאות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-2016,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שרלוונטי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הביקורת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הפנימית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התשנ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-1992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לתכליתו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נלמדת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השאר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מקיומו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ניצב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יעמוד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במילויו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שהוטל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הנחייתו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ותחת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פיקוחו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יעברו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ביקורתם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היושבים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לביקורתו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בכובעו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שהדגשנו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יושרתו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וכישוריו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הקושי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בהעברת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מקומו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להתעורר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נבצרות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ארעית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שהציע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פתרונו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שמונחת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ביסוד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שנלמד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ולהקדיש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מיטב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ומחשבתו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-23(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73.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ומוחלט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במאפייניו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ובשאלה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מוגבל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74.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לבסוף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במקביל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לתפקידו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לגרוע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ממסקנתי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כלשהי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כשלעצמה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בסוגיה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ראיתי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ובתוך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קוימה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ההיוועצות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כנדרש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סיכום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77.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עוסקות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מתעצמת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קביעת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ייקראו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78.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וקיצוניות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דרמטית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במתח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בשיטתנו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79.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שבנדיר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לחרוג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באורח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מוגבל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ומתוחם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הכרוכים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נסמכת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שמתמצית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בבחירת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תועברנה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במוסד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שהועברה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80.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להיבטים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להקהות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כפופה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ולהבטיח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תופעל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למצות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עיקרי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 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בהיותם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המומחיות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והאחריות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הקיצוניות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והנדירות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 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לחרוג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מובהקת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</w:t>
        <w:tab/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מובהק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(-) </w:t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תופעל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81.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מתקיימות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אומנם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בתבחינים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ואולם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להתבטל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82.</w:t>
        <w:tab/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והערה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לסיום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בפתח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שבפתרון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הסוגיה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המורכבת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והקשה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מוסכמת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לצערי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ונאלצנו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בסוגיה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ולהזכיר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הצעתנו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מחוזי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לזכור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להכרעה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שיבוא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בנעליה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ננעל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השער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מוסכם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ייהנה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מהכשר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וינמיך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הלהבות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יהושע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קרחה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שדורש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הנביא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אמת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ומשפט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שלום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שפטו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1"/>
        </w:rPr>
        <w:t xml:space="preserve">בשעריכם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 [=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]"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סנהדרין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83.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אציע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לחבריי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נדחה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3545-11-25;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נהפוך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18615-11-25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למוחלט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במובן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שתבוטל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יודגש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יקבל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והמגבלות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אציע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ייעשה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להוצאות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2551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51"/>
        <w:tblGridChange w:id="0">
          <w:tblGrid>
            <w:gridCol w:w="2551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</w:rPr>
              <w:drawing>
                <wp:inline distB="0" distT="0" distL="0" distR="0">
                  <wp:extent cx="909095" cy="751923"/>
                  <wp:effectExtent b="0" l="0" r="0" t="0"/>
                  <wp:docPr descr="וילנר 056062730" id="1" name="image1.png"/>
                  <a:graphic>
                    <a:graphicData uri="http://schemas.openxmlformats.org/drawingml/2006/picture">
                      <pic:pic>
                        <pic:nvPicPr>
                          <pic:cNvPr descr="וילנר 056062730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95" cy="7519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וילנר</w:t>
            </w:r>
          </w:p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שופטת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bidi w:val="1"/>
        <w:spacing w:line="360" w:lineRule="auto"/>
        <w:jc w:val="both"/>
        <w:rPr>
          <w:rFonts w:ascii="Century" w:cs="Century" w:eastAsia="Century" w:hAnsi="Century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אלכס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שטיין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A8">
      <w:pPr>
        <w:bidi w:val="1"/>
        <w:spacing w:line="360" w:lineRule="auto"/>
        <w:jc w:val="both"/>
        <w:rPr>
          <w:rFonts w:ascii="Century" w:cs="Century" w:eastAsia="Century" w:hAnsi="Century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bidi w:val="1"/>
        <w:spacing w:line="360" w:lineRule="auto"/>
        <w:jc w:val="both"/>
        <w:rPr>
          <w:rFonts w:ascii="Century" w:cs="Century" w:eastAsia="Century" w:hAnsi="Century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כדעתה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׳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לתוצאה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בכפוף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ההסתייעות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מופקד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נימוקיי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מנימוקיה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היבטים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בפתח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אציג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המסקנות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הגעתי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בכתובים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שהועלו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והתייעצות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חברותיי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בגדרו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-1959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עסקינן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כרוכה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בסנכרון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הרלבנטיות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-1982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חסד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כוונתי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ובראשונה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60, 61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-12(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שבידיו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הסנכרון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שבדין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מחייבת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אופייה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מוסדית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בשיקולי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ומראית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שתשתמע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שעושים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כפועל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מוסדית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אובייקטיבית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במלואה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הסנכרון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60, 61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-12(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בנמצא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כהגדרתו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מביאנו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בחיקוק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ינהג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הנראית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לעשיית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לעשיית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שילווה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בקירוב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cy-pres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בקירוב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שהכשרתו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ומעמדו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נופלים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מועמד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המובן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זיקות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להשפיע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בניהול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להשקפתי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מועמדים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טבעיים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מחוזיים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מומחיות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כדוגמת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שכיהנו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B">
      <w:pPr>
        <w:bidi w:val="1"/>
        <w:spacing w:line="360" w:lineRule="auto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מסקנות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מבוססות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ההקפדה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הפורמליות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שלטעמי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בענייניהן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ובשאר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לאכיפת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ואפרט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במוקד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1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התייעצות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ההדגשות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הוספו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.). </w:t>
      </w:r>
    </w:p>
    <w:p w:rsidR="00000000" w:rsidDel="00000000" w:rsidP="00000000" w:rsidRDefault="00000000" w:rsidRPr="00000000" w14:paraId="000001C1">
      <w:pPr>
        <w:bidi w:val="1"/>
        <w:spacing w:line="360" w:lineRule="auto"/>
        <w:ind w:firstLine="720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bidi w:val="1"/>
        <w:spacing w:line="360" w:lineRule="auto"/>
        <w:ind w:firstLine="720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ברי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״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העניין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״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מדבר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הסעיף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״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תפקידו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״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מצא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במצב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באותו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שנושא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אמור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היה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לגביו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הסמכויות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המוקנות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משכך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יכול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מופעל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בגפו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בהינתק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מהוראות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הספציפי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קובעות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דרכי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הטיפול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לגביו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נוצרה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אצל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הסמכות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מפנה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למסגרת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הסטטוטורית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פועל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המניעות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הפנייה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מחייבת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מינויו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המחליף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יהא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מסונכרן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המסגרת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הסטטוטורית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נמצא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העניין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נזכר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ובו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מוגדרות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הטיפול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באותו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".</w:t>
      </w:r>
    </w:p>
    <w:p w:rsidR="00000000" w:rsidDel="00000000" w:rsidP="00000000" w:rsidRDefault="00000000" w:rsidRPr="00000000" w14:paraId="000001C3">
      <w:pPr>
        <w:bidi w:val="1"/>
        <w:spacing w:line="360" w:lineRule="auto"/>
        <w:ind w:firstLine="720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קחו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ברשימת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בתוספת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נניח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הדוגמא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לנכס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-1960,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הקניית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לדודתו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חכרה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הנכס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קשריו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המשפחתיים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מלטפל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השלטונית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שנקבעה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שחלים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שמוחכרים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לאזרחים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מאינטרסים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לטיפולו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המקצועי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וממלכתי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מהשפעת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1213/24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לביא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והאסמכתאות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(19.2.2024);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54321-03-25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72 (21.5.2025);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7767/07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אסרף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13 (27.3.2008)).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שהשמאי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בדוגמא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לשמאי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הממשלתי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המחוייבים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כמופקדת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-61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"'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[...]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)״,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דהיינו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משנהו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המחוז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ופרקליטים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תאריהם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שפורסם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ברשומות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״.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עיינינו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הקונקרטי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מדרישת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הסנכרון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שהובא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לפתחנו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רגילים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ייחודי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ותקוותי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יישאר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ייחודי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המתוארות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מלטפל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להערכתי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שמרכיבים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סביבתה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לטעמי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מנקודת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מוסדית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בחיקוק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בחיקוק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ינהג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הנראית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לעשיית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סבורני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לעשיית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בקירוב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cy-pres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שמחייב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שמגשימה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הדומה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והשוו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490/99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הקדש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מנחם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ובלומה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ובלומה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אטינגר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צדקה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לזכרם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נאמני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ההקדש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(5) 145, 161-160 (2003)).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כשירותו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שיקבל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כשירותו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ונקי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מהשפעות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דרישות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ההחלטות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החשובות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בליווי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והעמדה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תופקדנה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העיקרון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והחובה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לבודד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מהשפעות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יתקרב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לדרישת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הסנכרון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בסעיפים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60, 61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-12(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)(1)(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לחסד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קביעתן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גבולות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למתווה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תמנע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פוליטיזציה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תופעה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שנמנית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סממניו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המובהקים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רודני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אוסיף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ואציין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האמריקני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דוגל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בהקפדה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פורמאלי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שעניינו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בנעליהם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המופקדים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והשוו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United States v. Trump, 740 F. Supp. 3d 1245 (S.D. Fla. 2024)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הפקעת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ממלכתי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׳ 1253;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Steven G. Calabresi &amp; Gary Lawson,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Robert Mueller’s Appointment as Special Counsel was Unlawful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95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Notre Dame L. Rev.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87, 93 (2019)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מצטרף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למינוי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ברצוני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להבהיר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המחליף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לתנאים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שקבענו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להסתייע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משאיר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שנביע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2551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51"/>
        <w:tblGridChange w:id="0">
          <w:tblGrid>
            <w:gridCol w:w="2551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/>
              <w:drawing>
                <wp:inline distB="0" distT="0" distL="0" distR="0">
                  <wp:extent cx="872920" cy="780692"/>
                  <wp:effectExtent b="0" l="0" r="0" t="0"/>
                  <wp:docPr descr="C:\Users\ShimiG\AppData\Local\Microsoft\Windows\INetCache\Content.Word\השופט אלכס שטיין.jpg" id="3" name="image3.png"/>
                  <a:graphic>
                    <a:graphicData uri="http://schemas.openxmlformats.org/drawingml/2006/picture">
                      <pic:pic>
                        <pic:nvPicPr>
                          <pic:cNvPr descr="C:\Users\ShimiG\AppData\Local\Microsoft\Windows\INetCache\Content.Word\השופט אלכס שטיין.jpg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20" cy="7806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4">
            <w:pPr>
              <w:pStyle w:val="Heading3"/>
              <w:bidi w:val="1"/>
              <w:jc w:val="center"/>
              <w:rPr>
                <w:rFonts w:ascii="FrankRuehl" w:cs="FrankRuehl" w:eastAsia="FrankRuehl" w:hAnsi="FrankRueh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אלכס</w:t>
            </w: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שטיין</w:t>
            </w: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Style w:val="Heading3"/>
              <w:bidi w:val="1"/>
              <w:jc w:val="center"/>
              <w:rPr>
                <w:rFonts w:ascii="FrankRuehl" w:cs="FrankRuehl" w:eastAsia="FrankRuehl" w:hAnsi="FrankRueh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FrankRuehl" w:cs="FrankRuehl" w:eastAsia="FrankRuehl" w:hAnsi="FrankRuehl"/>
                <w:sz w:val="28"/>
                <w:szCs w:val="28"/>
                <w:rtl w:val="1"/>
              </w:rPr>
              <w:t xml:space="preserve">שופט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spacing w:after="16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השופטת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ג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' 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כנפי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-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שטייניץ</w:t>
      </w:r>
      <w:r w:rsidDel="00000000" w:rsidR="00000000" w:rsidRPr="00000000">
        <w:rPr>
          <w:b w:val="1"/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DB">
      <w:pPr>
        <w:bidi w:val="1"/>
        <w:spacing w:after="160" w:lineRule="auto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מצטרפת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למסקנתה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לרקע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מינויים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-1959,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ולנוכח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מניעותה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מסכימה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למסקנתה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התאמתו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בסתירה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-2002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מלחזור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ולהדגיש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הרקע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נקלעה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לאירוע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במוקד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מצויה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לשעבר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בהתייעצויות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וחלקם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פיקחו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כתוצאה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הנמנע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בגביית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גרסתם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שותפים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ההתייעצויות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מיוחדות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ורגישות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שהולידו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התנגשות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המאזניים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להפריז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בחשיבותה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במשטר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דמוקרטי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ואמינה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שהצדק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ייראה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שבמקרה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בכפיפה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מעורבותם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הנחקרת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מתנגשים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חזיתית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בהעדפתו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כרוכה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שעמדת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הניחה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הניחה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המאזניים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מוטל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ברשויות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מאובדנו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והצורך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בשיקומו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הערובות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הדמוקרטיה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בבסיסו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המבטיחה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יופעלו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שוויוני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בשיטת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המופקד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בכובעו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בהוראות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ולמערכת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ומגוונות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לשלבי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וההעמדה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12, 57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61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-62(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-1982).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לאחרונה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8987/22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(17.4.2024)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הדגשנו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תשעת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ההרכב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חובתם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ממלכתי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ובלתי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לפעילותם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וליכולתם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הדמוקרטיה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האזרחים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השוויון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ברשויות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באומרנו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סכנה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לשלטון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וליסודות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הדמוקרטיה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להליכי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וההעמדה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ומשפיעים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המתקבלות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פוגע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בגרעין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הלגיטימציה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נפגע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הבסיסי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שוויון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ושוויוני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האזרחים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ועשוי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לשמש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מטרותיהם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סיכון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ישמשו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לניגוח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יריבים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ינוצלו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להיטיב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מקורבים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מערערת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וברשויות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ושיקולים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מרכיב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לקיומה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להמיט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נזק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הדמוקרטיה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במאמר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מוסגר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אעיר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הוועדות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שישבו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המדוכה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בסוגיית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לדרג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המיניסטריאלי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אגרנט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וועדת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שמגר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הותירו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במסקנותיהן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למעורבותו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המיניסטריאלי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עיגון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להתייעץ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המשפטנים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(1962)"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קלינגהופר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 421, 433 (1993);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המינוי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ונושאים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לכהונתו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50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התשנ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-1998);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4.1001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ואולם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בפתח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הפוליטי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br w:type="textWrapping"/>
        <w:t xml:space="preserve">6.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המאזניים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מונח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הבטחת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ואמינה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הנגוע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המנווט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בתוצאותיה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לאמינות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ממצאיה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וליכולתה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לחשוף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כנגזרת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מכישלון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תסוכל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החשובה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מיצוי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האחראים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פחות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ובמנותק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מממצאיה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האובייקטיבי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שרוכש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לתוצאותיה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כפולה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8192/04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(3) 145, 167 (2004);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4487/10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גלילי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רובינשטיין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(6.11.2012)).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להכתים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ממצאי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בסופו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יביאו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יזכו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האוסר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להבטיח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שהצדק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ייראה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המתחרים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העומדים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מחלוקת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המיניסטריאלי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נוצרה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שחשש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בהחלטתו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28.8.2023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8.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ואולם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מלהכשיר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להמעיט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מחומרת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העומדת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הכוללת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דיווחי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הדרגים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הבכירים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פיקוחם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33366-09-24, 34183-10-24),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נתבקש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ובלתי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הבטיחונו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ונטולת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16.1.2025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וסיכום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שצורף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משנמצא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בדיעבד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ולהדוף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ובלתי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הטעמים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שנוצרו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מתקיימת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ועשויים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עדותם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שמקיימים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זיקת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קרובה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ולמשקלם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כפיפות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להנחיה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1.1555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להנחיות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עריכת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למניעת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לעצום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עינינו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ולהשלים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לנהוג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כתמול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שלשום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ולהעביר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שנערכה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לוקים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בקיומה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שתזכה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שיצרה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תקדים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ניקיון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המשימה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הפרקטיקה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המקובלת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שנטען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9.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מתוחמת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מוגבלת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ועקיפה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הקובעת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השפעה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מכרעת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להקל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מרחיקת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מינוי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בתוצאות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ערובות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שהפעלת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שפורטו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המקובלות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מומחיות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וניסיון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להקפיד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הקפדה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כהלכתו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שהשימוש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ייעשה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כהלכה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ינוצל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חלילה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למטרות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84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10.</w:t>
        <w:tab/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אבהיר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גדורה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למילוי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להשקפתי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לבכירי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דרגי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השטח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קשורים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למוקדי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מנועים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מלסייע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שייבחר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ואדרבה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הראוי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שיסתייע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שיידרש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ולבסוף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שנקבע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שתינתן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תוקף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</w:t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שפתחתי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הערכים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המתנגשים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וההכרעה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פשוטה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התערבותו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פרטני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בעודו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וטמונה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ואולם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תולדה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וקיצונית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כבדות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בפתרון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האופטימלי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משמרים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מיטבי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חיזוק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בטוהר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ואולם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המחוקק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שהתווה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ההסדר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ובתוכו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פועלים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אוסיף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משנסת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מותניים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ועורכת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ועניינית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ניגודי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הכרוכים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המוסמך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ומשכילה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שורותיה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מתעורר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ייתכן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שהתוצאה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כזאת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מנגנון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לפתור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החששות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שהועלו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הופעלה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אדגיש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בהכרעה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הגענו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בגורמי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חשודים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ככולם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משרתי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העושים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עבודתם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נאמנה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תקוותנו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שהולידו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הכרעה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ישובו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שבענייננו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תיוותר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פעמי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2551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551"/>
        <w:tblGridChange w:id="0">
          <w:tblGrid>
            <w:gridCol w:w="2551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/>
              <w:drawing>
                <wp:inline distB="0" distT="0" distL="0" distR="0">
                  <wp:extent cx="989398" cy="754351"/>
                  <wp:effectExtent b="0" l="0" r="0" t="0"/>
                  <wp:docPr descr="055475867" id="2" name="image2.png"/>
                  <a:graphic>
                    <a:graphicData uri="http://schemas.openxmlformats.org/drawingml/2006/picture">
                      <pic:pic>
                        <pic:nvPicPr>
                          <pic:cNvPr descr="055475867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98" cy="7543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8">
            <w:pPr>
              <w:pStyle w:val="Heading3"/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גילה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כנפי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שטייניץ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שופטת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הוחלט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לדחות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3545-11-25;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להפוך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18615-11-25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למוחלט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במובן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שהחלטת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מבוטלת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הוחלט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ההרכב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יקבל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והמגבלות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להוצאות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חשוון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(16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נובמבר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2025).</w:t>
      </w:r>
    </w:p>
    <w:p w:rsidR="00000000" w:rsidDel="00000000" w:rsidP="00000000" w:rsidRDefault="00000000" w:rsidRPr="00000000" w14:paraId="00000201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8307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09"/>
        <w:gridCol w:w="2747"/>
        <w:gridCol w:w="2751"/>
        <w:tblGridChange w:id="0">
          <w:tblGrid>
            <w:gridCol w:w="2809"/>
            <w:gridCol w:w="2747"/>
            <w:gridCol w:w="27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03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</w:rPr>
                    <w:drawing>
                      <wp:inline distB="0" distT="0" distL="0" distR="0">
                        <wp:extent cx="909095" cy="751923"/>
                        <wp:effectExtent b="0" l="0" r="0" t="0"/>
                        <wp:docPr descr="וילנר 056062730" id="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וילנר 056062730"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9095" cy="75192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04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יעל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וילנר</w:t>
                  </w:r>
                </w:p>
                <w:p w:rsidR="00000000" w:rsidDel="00000000" w:rsidP="00000000" w:rsidRDefault="00000000" w:rsidRPr="00000000" w14:paraId="00000205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Visual w:val="1"/>
              <w:tblW w:w="253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31"/>
              <w:tblGridChange w:id="0">
                <w:tblGrid>
                  <w:gridCol w:w="253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09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872920" cy="780692"/>
                        <wp:effectExtent b="0" l="0" r="0" t="0"/>
                        <wp:docPr descr="C:\Users\ShimiG\AppData\Local\Microsoft\Windows\INetCache\Content.Word\השופט אלכס שטיין.jpg" id="4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C:\Users\ShimiG\AppData\Local\Microsoft\Windows\INetCache\Content.Word\השופט אלכס שטיין.jpg"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920" cy="78069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0A">
                  <w:pPr>
                    <w:pStyle w:val="Heading3"/>
                    <w:bidi w:val="1"/>
                    <w:jc w:val="center"/>
                    <w:rPr>
                      <w:rFonts w:ascii="FrankRuehl" w:cs="FrankRuehl" w:eastAsia="FrankRuehl" w:hAnsi="FrankRuehl"/>
                      <w:b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אלכס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שטיין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B">
                  <w:pPr>
                    <w:pStyle w:val="Heading3"/>
                    <w:bidi w:val="1"/>
                    <w:jc w:val="center"/>
                    <w:rPr>
                      <w:rFonts w:ascii="FrankRuehl" w:cs="FrankRuehl" w:eastAsia="FrankRuehl" w:hAnsi="FrankRuehl"/>
                      <w:b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שופט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bidiVisual w:val="1"/>
              <w:tblW w:w="25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35"/>
              <w:tblGridChange w:id="0">
                <w:tblGrid>
                  <w:gridCol w:w="2535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0F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989398" cy="754351"/>
                        <wp:effectExtent b="0" l="0" r="0" t="0"/>
                        <wp:docPr descr="055475867" id="7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055475867"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398" cy="754351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10">
                  <w:pPr>
                    <w:pStyle w:val="Heading3"/>
                    <w:bidi w:val="1"/>
                    <w:jc w:val="center"/>
                    <w:rPr>
                      <w:b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גילה</w:t>
                  </w: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כנפי</w:t>
                  </w: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-</w:t>
                  </w: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שטייניץ</w:t>
                  </w: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000000"/>
                      <w:sz w:val="28"/>
                      <w:szCs w:val="28"/>
                      <w:rtl w:val="1"/>
                    </w:rPr>
                    <w:t xml:space="preserve">שופטת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2553"/>
        </w:tabs>
        <w:bidi w:val="1"/>
        <w:ind w:left="5040" w:firstLine="0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ab/>
        <w:tab/>
        <w:tab/>
        <w:tab/>
        <w:t xml:space="preserve">        </w:t>
      </w:r>
    </w:p>
    <w:sectPr>
      <w:headerReference r:id="rId9" w:type="default"/>
      <w:headerReference r:id="rId10" w:type="first"/>
      <w:pgSz w:h="16840" w:w="11907" w:orient="portrait"/>
      <w:pgMar w:bottom="1440" w:top="1440" w:left="1800" w:right="1800" w:header="72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ahoma"/>
  <w:font w:name="David"/>
  <w:font w:name="FrankRuehl"/>
  <w:font w:name="Century"/>
  <w:font w:name="Arimo"/>
  <w:font w:name="Garamond"/>
  <w:font w:name="Assistant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7">
    <w:pPr>
      <w:bidi w:val="1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" cy="449580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" cy="449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center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