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82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743"/>
        <w:gridCol w:w="2506"/>
        <w:gridCol w:w="5571"/>
        <w:tblGridChange w:id="0">
          <w:tblGrid>
            <w:gridCol w:w="743"/>
            <w:gridCol w:w="2506"/>
            <w:gridCol w:w="557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bidi w:val="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בפני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כבוד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השופטת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נשיאה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לורך</w:t>
            </w:r>
          </w:p>
          <w:p w:rsidR="00000000" w:rsidDel="00000000" w:rsidP="00000000" w:rsidRDefault="00000000" w:rsidRPr="00000000" w14:paraId="00000004">
            <w:pPr>
              <w:bidi w:val="1"/>
              <w:rPr>
                <w:rFonts w:ascii="Arial" w:cs="Arial" w:eastAsia="Arial" w:hAnsi="Arial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כבוד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השופט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דותן</w:t>
            </w:r>
          </w:p>
          <w:p w:rsidR="00000000" w:rsidDel="00000000" w:rsidP="00000000" w:rsidRDefault="00000000" w:rsidRPr="00000000" w14:paraId="00000006">
            <w:pPr>
              <w:bidi w:val="1"/>
              <w:rPr>
                <w:rFonts w:ascii="Arial" w:cs="Arial" w:eastAsia="Arial" w:hAnsi="Arial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כבוד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השופטת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עטר</w:t>
            </w:r>
          </w:p>
          <w:p w:rsidR="00000000" w:rsidDel="00000000" w:rsidP="00000000" w:rsidRDefault="00000000" w:rsidRPr="00000000" w14:paraId="00000008">
            <w:pPr>
              <w:bidi w:val="1"/>
              <w:rPr>
                <w:rFonts w:ascii="Arial" w:cs="Arial" w:eastAsia="Arial" w:hAnsi="Arial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A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מאשימה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מדינת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ישראל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ועו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אלון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0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נגד</w:t>
            </w:r>
          </w:p>
          <w:p w:rsidR="00000000" w:rsidDel="00000000" w:rsidP="00000000" w:rsidRDefault="00000000" w:rsidRPr="00000000" w14:paraId="00000012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5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נאשם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bidi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עמירם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בן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אוליאל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אוחיון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ועו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יצחק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בם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1"/>
              </w:rPr>
              <w:t xml:space="preserve">הכרעת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1"/>
              </w:rPr>
              <w:t xml:space="preserve">דין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gjdgxs" w:id="0"/>
    <w:bookmarkEnd w:id="0"/>
    <w:p w:rsidR="00000000" w:rsidDel="00000000" w:rsidP="00000000" w:rsidRDefault="00000000" w:rsidRPr="00000000" w14:paraId="00000022">
      <w:pPr>
        <w:bidi w:val="1"/>
        <w:spacing w:line="360" w:lineRule="auto"/>
        <w:jc w:val="both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להוראת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rtl w:val="1"/>
        </w:rPr>
        <w:t xml:space="preserve"> 182 </w:t>
      </w:r>
      <w:r w:rsidDel="00000000" w:rsidR="00000000" w:rsidRPr="00000000">
        <w:rPr>
          <w:rFonts w:ascii="David" w:cs="David" w:eastAsia="David" w:hAnsi="David"/>
          <w:rtl w:val="1"/>
        </w:rPr>
        <w:t xml:space="preserve">סיפא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סדר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הדין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הפלילי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[</w:t>
      </w:r>
      <w:r w:rsidDel="00000000" w:rsidR="00000000" w:rsidRPr="00000000">
        <w:rPr>
          <w:rFonts w:ascii="David" w:cs="David" w:eastAsia="David" w:hAnsi="David"/>
          <w:rtl w:val="1"/>
        </w:rPr>
        <w:t xml:space="preserve">נוסח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משולב</w:t>
      </w:r>
      <w:r w:rsidDel="00000000" w:rsidR="00000000" w:rsidRPr="00000000">
        <w:rPr>
          <w:rFonts w:ascii="David" w:cs="David" w:eastAsia="David" w:hAnsi="David"/>
          <w:rtl w:val="1"/>
        </w:rPr>
        <w:t xml:space="preserve">], </w:t>
      </w:r>
      <w:r w:rsidDel="00000000" w:rsidR="00000000" w:rsidRPr="00000000">
        <w:rPr>
          <w:rFonts w:ascii="David" w:cs="David" w:eastAsia="David" w:hAnsi="David"/>
          <w:rtl w:val="1"/>
        </w:rPr>
        <w:t xml:space="preserve">תשמ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rtl w:val="1"/>
        </w:rPr>
        <w:t xml:space="preserve">-1982, </w:t>
      </w:r>
      <w:r w:rsidDel="00000000" w:rsidR="00000000" w:rsidRPr="00000000">
        <w:rPr>
          <w:rFonts w:ascii="David" w:cs="David" w:eastAsia="David" w:hAnsi="David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מודיעים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זיכוי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המיוחס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שעניינו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מורשע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העבירות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המיוחסות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באישום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rtl w:val="1"/>
        </w:rPr>
        <w:t xml:space="preserve">: 3 </w:t>
      </w:r>
      <w:r w:rsidDel="00000000" w:rsidR="00000000" w:rsidRPr="00000000">
        <w:rPr>
          <w:rFonts w:ascii="David" w:cs="David" w:eastAsia="David" w:hAnsi="David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רצח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שתי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ניסיון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רצח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שתי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הצתה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ועבירה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קשירת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פשע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ממניע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גזעני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spacing w:line="360" w:lineRule="auto"/>
        <w:jc w:val="both"/>
        <w:rPr>
          <w:rFonts w:ascii="David" w:cs="David" w:eastAsia="David" w:hAnsi="David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line="360" w:lineRule="auto"/>
        <w:rPr>
          <w:rFonts w:ascii="David" w:cs="David" w:eastAsia="David" w:hAnsi="David"/>
          <w:b w:val="1"/>
          <w:sz w:val="28"/>
          <w:szCs w:val="28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הנשיאה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רות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לורך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אב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ד</w:t>
      </w:r>
    </w:p>
    <w:p w:rsidR="00000000" w:rsidDel="00000000" w:rsidP="00000000" w:rsidRDefault="00000000" w:rsidRPr="00000000" w14:paraId="00000025">
      <w:pPr>
        <w:bidi w:val="1"/>
        <w:spacing w:line="360" w:lineRule="auto"/>
        <w:jc w:val="center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הוגש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אישומים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שביקש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ביטחונית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כתוצאה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נשרפו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דוואבשה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באורח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האישומים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הכוללים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גזעני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יוחסו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עובדות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הכללי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המתוקן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הרקע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וההתארגנות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2009-2013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שכללו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הצתות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למוסלמים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ונוצרים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וריסוס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פרובוקטיבי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ומתריס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המבצעים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לתסיסה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האוכלוסייה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והפלסטינית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ובשטחי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ושומרון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לאלץ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הביטחון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והמשטרה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משאבים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מרובים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והביטחון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636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השנתיים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שקדמו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(2014-2016)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התארגנות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קיצוניים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שביקשו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אידאולוגית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קיצונית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ואלימה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שמטרתה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ערעור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ואלימות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להתססה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והצתת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ביטחונית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להתלקחותם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שפורטו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מהפעולות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טרוריסטי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בניגוד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לפקודת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1948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").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בעובדות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בתקופה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הרלוונטית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ואחרים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שמטרתו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ביטחונית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ברכושם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ובקודשי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ומוסלמים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לעורר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האוכלוסייה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למתיחות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ויחייב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להשקיע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משאבים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השקט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והביטחון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והאחרים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נועדו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מרתיע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ולזרוע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האוכלוסייה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והאחרים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אידאולוגי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בכוונה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לשינוי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שהמדינה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תתנהל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יוחסה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טרוריסטי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לפקודת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-1948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").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המופיע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לעובדות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בתגובה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לרצח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רוזנפלד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שהתרחש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2015,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בפגישות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שקיימו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ובסופן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יפגשו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30.7.2015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-31.7.2015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לסיכום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האמצעים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אפקט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ההרתעה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והפחד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ולהגביר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חיפש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בתוככי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המעידים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המתאימים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ריסס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והצית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בכוונה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יושבי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שהצית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מאמון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דוואבשה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שהצית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דוואבשה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וילדיהם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הקטנים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כתוצאה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ממעשיו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התינוק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באורח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יוחסו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300(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)(2)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העונשין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-1977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");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ניסיון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הצתה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448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יוחסה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קשירת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גזעני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499(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)(1)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144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הוגשה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26.10.2016.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האישומים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שיוחסו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בנוגע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31.7.2015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הוצתו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כתוצאה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דוואבשה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הכחישה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המתוארות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השתלשלות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חקירות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הנאשם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1.12.2015,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נלקח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לחקירת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מלהיפגש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17.12.2015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ארוכות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תרגיל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17.12.2015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23:40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נמשכה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7:00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למחרת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הופעלו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מיוחדים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הופעלו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מיוחדים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ובמהלכן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19.12.2015,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19:00,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נערכה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תועדה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בתיעוד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חזותי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ובמהלכה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/3).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19.12.2015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-20.12.2015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הובלה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והצבעה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מתועדים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חזותית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/4).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ביומיים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נערכו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תועדו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/215-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/220).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21.12.2015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הצהריים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נערכה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מוקלטת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במיוחס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/5).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המוקלטת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הופעלו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מיוחדים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לחצות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הסתיימה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המפגש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בסנגורו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דאז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22.12.2015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המשטרתית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המתועדת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27.12.2015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בקשתו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/6).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bidi w:val="1"/>
        <w:spacing w:line="360" w:lineRule="auto"/>
        <w:rPr>
          <w:rFonts w:ascii="David" w:cs="David" w:eastAsia="David" w:hAnsi="David"/>
          <w:b w:val="1"/>
          <w:sz w:val="28"/>
          <w:szCs w:val="28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הזוטא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נוהל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ממושך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נשמעו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עדויותיהם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והמשטרה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19.6.2018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החלטתנו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שנגבו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העוקבות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שניתנו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סמיכות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חופשי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ומרצון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בהעדרו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שנמסרו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המתועדת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תחילתה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החזותי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בהובלה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והצבעה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להתרשמות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מהאווירה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ומהתנהלות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מרצון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לכפור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במדויק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ובמלואם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המאוחרות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תועדו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במסגרתן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ניתנו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חופשי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ומרצון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תוצריהן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קבילה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ההליך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הזוטא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ההחלטה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התביעה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אמויאל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חוסיין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דוואבשה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הודעותיו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דוואבשה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הוגשו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בהסכמה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12.5.2019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הודיעו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טיעון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במיוחס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בארבעה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אישומים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גזעני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להצתת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מתגוררים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העוסק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26.6.2019.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בפתח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1372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10-14):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לוותר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להעיד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המשמעויות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בזכותו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להעיד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החליט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להעיד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להוסיף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שההחלטה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לתחושת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העוול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שנעשה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מהודאותיו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שהוצאו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בעינויים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שקדמו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קבוצות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נוגעת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אוליאל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");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ניזרי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נחמה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");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נוגעת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לניתוח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פולסקי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והגרפולוגית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קרויטרו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spacing w:line="360" w:lineRule="auto"/>
        <w:rPr>
          <w:rFonts w:ascii="David" w:cs="David" w:eastAsia="David" w:hAnsi="David"/>
          <w:b w:val="1"/>
          <w:sz w:val="28"/>
          <w:szCs w:val="28"/>
          <w:u w:val="single"/>
        </w:rPr>
      </w:pPr>
      <w:bookmarkStart w:colFirst="0" w:colLast="0" w:name="_1fob9te" w:id="2"/>
      <w:bookmarkEnd w:id="2"/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טענות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לאישום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השני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המיוחס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הנוגע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אעבור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תמצית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טענות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לאישום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השני</w:t>
      </w:r>
    </w:p>
    <w:p w:rsidR="00000000" w:rsidDel="00000000" w:rsidP="00000000" w:rsidRDefault="00000000" w:rsidRPr="00000000" w14:paraId="00000068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מהימנות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ומפורטת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תוספת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ראייתית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כנדרש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להסתמך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שתכנן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שנערך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המתועדת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/3"),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השתלשלות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במילותיו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וברצף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וולונטרי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לחזק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אמיתות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וטרם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ההובלה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וההצבעה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ההובלה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וההצבעה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ההליכה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שקלטו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הליכתו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מצפייה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להתרשם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מהתמצאותו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בתוואי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בתוואי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צפופים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ממשיכה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וטוענת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אותנטית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ומהימנה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שוליים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כעיקריים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כהווייתו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זכרונו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הוסיפה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מראשיתו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מוביל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ומקפיד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וודאי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אותנטיות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ואמיתות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המוכמנים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ופירטה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החיצוניות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מוכמנים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איכותיים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ראייתי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מורכבת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מרובת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פלסטיני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היכרות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מוקדמת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בהימנעות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לשתיקתו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נמנע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החשש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שעתיד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הנגדית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שהפגין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התייחסה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לעדויות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שהעידו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מקצועיות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ואמינות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מלמדת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כיווני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נבדקו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היטב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בדיקות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לאיתור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פוטנציאליים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להודעותיו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דוואבשה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פלגינן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דיבורא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ולקבל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להזזת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רכבם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מפגעים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שעומדים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ומסתכלים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מסקנות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נתמכת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מתיישבת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ההיגיון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לרצח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מניע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גזעני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ואידאולוגי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הנלמד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ליסוד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הנפשי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הרכיבים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להמית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בהתבסס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והמבחנים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הקיימים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שיכול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להוביל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למסקנה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חלופית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שזורות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אמירותיו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הברורות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הצהרותיו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התכוון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להמית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תואמות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הרפורמה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ההמתה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שבוצעה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העונשין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המשטרתית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שנערכה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המפגש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/6")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נודעו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בסרטונים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בסתירה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ואמונותיו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להידחות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ניהול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הוטח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הנוגע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בהזדמנות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כמצוות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להסתמך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בעדותן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לבסס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לעורר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אשמתו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למומחית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שערכה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השוואה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מהימנה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מקצועית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להתייחס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מומחה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ולעדותה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85">
      <w:pPr>
        <w:bidi w:val="1"/>
        <w:spacing w:line="360" w:lineRule="auto"/>
        <w:rPr>
          <w:rFonts w:ascii="David" w:cs="David" w:eastAsia="David" w:hAnsi="David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תמצית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טענות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לאישום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השני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מיוחדים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בסיכון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בזהירות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ועריכתו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סטייה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מהנחיות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ומפחיתים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בתוככי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המסלול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מנחש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התבררו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כשגויים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מכלול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החיצוניות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לאמיתות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במשקלם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לפלג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הוגשה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בהסכמה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לעמתו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רוחשת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מוסיפה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ומטעימה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פלגינן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דיבורא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למצבים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עקבית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ופרכות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לאירועי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בתיאור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מוקדם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כיווני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וחשודים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ספציפיים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המסקנה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המתבקשת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שאירע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במציאות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בכוחם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חיזוקים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וידיעת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מוכמנים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לכאורה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המוכמנים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מיוחדים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תועדו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הועלו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שנאספו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נסתרה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זעקה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בהזדמנות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נמנעה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מלחקור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ארוכים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מלמדת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לנושא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המומחית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שהביאה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הוזמה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בגרפיטי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מומחה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שבשתי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החשש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יסתבר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הימנעות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מתחושת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הרציונל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המצדיק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להימנעות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לזקוף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ההימנעות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לחובתו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ליסוד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הנפשי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מופיעות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המספקות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להיעדר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כוונת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וחוסר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בקיפוח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9A">
      <w:pPr>
        <w:bidi w:val="1"/>
        <w:rPr>
          <w:b w:val="1"/>
          <w:sz w:val="28"/>
          <w:szCs w:val="28"/>
          <w:u w:val="single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תמצית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ההכרעה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ביחס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לאישום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השני</w:t>
      </w:r>
    </w:p>
    <w:p w:rsidR="00000000" w:rsidDel="00000000" w:rsidP="00000000" w:rsidRDefault="00000000" w:rsidRPr="00000000" w14:paraId="0000009C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בפרוטוקול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ובמוצגים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ובחינת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לחבריי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להרשיע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בתמצית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שנקבעו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התואמות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ממצאי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למבחן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הפנימי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ההתרשמות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הבלתי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המתועדות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והתנהגותו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המשתייך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לקבוצת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סיכון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פיקח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זיכרון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עוצמה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וחוסן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עקרונותיו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נוטה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לרצות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ברצף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מפורטות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וכוללות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אותנטיים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כחמישה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חודשים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בפירוט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ההובלה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וההצבעה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הוברר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ההובלה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וההצבעה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מתמצא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היטב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מורכבת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מקפיד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לדייק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משוכנע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שקדמה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ניחושים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מנחש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למבחן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החיצוני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תוספות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ראייתיות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לעמוד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בתוספת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המאמתת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מוכמנים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בידיעת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מסירתם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ומאפייני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וכיוון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פתיחתו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הושלך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ההתנפצות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מאפיינים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המתיישבים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הממצאים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והמאפיינים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הייחודיים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לידיעת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המוכמנים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נמנע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ולהיחקר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הימנעות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ולעשות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בזהות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("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ההיפותטית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לצדדים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הזדמנות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לחקרו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הנוגע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להודעתו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ולהתחשב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בנוגע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לפעולתו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הזזת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שמתיישבת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הממצאים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מפגעים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והתנהגותם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ממצאים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עובדתיים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שהוצגו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כתהייה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הגדירו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בהעדר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מספיקות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נצפו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מפגעים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להפחית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ממשקלה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הגבוה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ומתוכנה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מסתיר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מופרכת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ומתיישבת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והתנהגותו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סירובו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החשיבות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הנוגע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לעקבות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הצמיגים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עקבות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הנעליים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ההתרשמות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הכוללת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שנבדקו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כיווני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הממצאים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שאותרו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הובילו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לממצאים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בממצאים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כשלעצמם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המומחית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בתיה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קרויטרו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בנוגע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להשוואת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מהימנה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בקביעות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וממצאים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מבוססים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הנגדית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ממצאיה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שהרקע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פלילי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הוברר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ונשלל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האליבי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הועלתה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ביססו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סותרים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בהכרח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הבהיר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כשיצא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וכיצד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תבחין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העונשין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מתקיימות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המחמירות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301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)(1) +(4)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גזענות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עוינות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להלן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נימוקיי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המפורטים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BC">
      <w:pPr>
        <w:bidi w:val="1"/>
        <w:rPr>
          <w:rFonts w:ascii="David" w:cs="David" w:eastAsia="David" w:hAnsi="David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הודאת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רקע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נורמטיבי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קבילותה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שניתנה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לכותלי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הסתמכות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כראיה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נותרת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הנפרדת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כראיה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להכריע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6613/99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סמירק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(3) 529,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545-546).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שנמסרה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לכותלי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ומבחן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חיצוני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פותחו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ויושמו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הפנימי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סימני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נמסרו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ההתנסחות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הפירוט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רציפותה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עקביותה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נמסרה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וכיוצא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סימנים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המביאים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להתייחס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זולתו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4142/04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מילשטיין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התובע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(14.12.2006),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מילשטיין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7939/10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זדורוב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(23.12.2015),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זדורוב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האחרונות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בפסיקה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היבט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הפנימי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זהותו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ובפרט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משתייך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שלחבריה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סיכון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למסירת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לבדיקת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ההשתייכות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הקבוצתית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להתרשמות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בניסיון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מאפיינים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המחזקים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4179/09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וולקוב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(18.10.2010);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4855/16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שוויקי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(11.11.2018),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שוויקי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החיצוני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בדרישה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לתמוך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בתוספת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ראייתית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מאמתת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שתכליתה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החשש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שהנאשם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להסתפק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ונסיבתית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ולהצביע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אמיתותה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החיצוני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שפרטים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מתיישבים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חיצוניות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שוויקי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29)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מקיימים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מקבילית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שההודאה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יידרש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ולהיפך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שמשקלה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בתוספת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ראייתית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מילשטיין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8589/13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רמילאת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(27.1.2015),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העקרונות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שהותוו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C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המבחן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הפנימי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.1.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מאפייניו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האישיים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והתמודדותו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הליך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החקירה</w:t>
      </w:r>
    </w:p>
    <w:p w:rsidR="00000000" w:rsidDel="00000000" w:rsidP="00000000" w:rsidRDefault="00000000" w:rsidRPr="00000000" w14:paraId="000000CF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במהלכם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לשתף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שהופעלו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מיוחדים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העוקבות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נפסלו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מלשמש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סיכומיה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הסיכון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הנחקר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לרצות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כלפיו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לפסילת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המאוחרות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לחקירת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המאוחרות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שמהימנותה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מוטלת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מתקבלת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במישור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העקרוני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בהרחבה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הקבילות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בענייננו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פנימי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ותואמות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ממצאי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מתיישב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שווא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מפשע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ההתרשמות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מצפייה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המתועדות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חוסן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ויכולת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עמידה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לשתוק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ארוכים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מהיצמדותו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/172,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31).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פיקח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זיכרון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יוצא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וניכר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היטב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חוקריו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וכוונותיהם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סירובו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מצטרפת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התרשמותי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מאישיותו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משתקפת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מהתנהלותו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התרשמתי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מחשבה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עוצמה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פנימית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וכמי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שעומד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עקרונותיו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נוטה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לרצות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בתוקף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נגדית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ממושכת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ובחר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בקפידה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החליט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להעיד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ההימנעות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הוסברו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כמעין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מחאה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החלטתנו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לקביעתנו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התנהל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בניסיון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להימנע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מפלילות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לחובתו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לכתוב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לחתום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הטופס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שהוצג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מלמדת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בכוונתו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להתנער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שלשיטתה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החשש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מקבלת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ההחלטה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הבהיר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נבדקים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ישתכנעו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תסתיים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5-6;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היטב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שקרית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ניסיונו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תוקף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העלאתן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חתימה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עליהן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מלמד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תחכום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והבנה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למשקלן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לקביעתנו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שמשקלו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הפנימי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הגבוה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והתאמתו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לממצאי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מסירים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החשש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מתפאר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במעשים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חרף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אופייה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הקשה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מצוי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בסיכון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למסירת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שווא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למאפייני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אישיותו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E">
      <w:pPr>
        <w:bidi w:val="1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bidi w:val="1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.2.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הודאות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הנאשם</w:t>
      </w:r>
    </w:p>
    <w:p w:rsidR="00000000" w:rsidDel="00000000" w:rsidP="00000000" w:rsidRDefault="00000000" w:rsidRPr="00000000" w14:paraId="000000E0">
      <w:pPr>
        <w:bidi w:val="1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המוקלטות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עקבית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וסדורה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בדייקנות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מפרטת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בפירוט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מתוארות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המתועדת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משטרתית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הפצרות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דקות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ארוכות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ודרש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להיפגש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כחצי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לחדר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ומנסה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לשכנעו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גרסתך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כניסתו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מתרצה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ומתחיל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גרסתו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ברצף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כחצי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שעה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7;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פתוחות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בהרחבה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גרסתו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מפורטת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וסדורה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יוזכר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נמסרת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כחמישה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חודשים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ההתרשמות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זוכר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היטב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שהתרחש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נאמרים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בשטף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וללא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היסוס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תיאוריו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אותנטיים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וכוללים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שקלט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בחושיו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חלקם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קטנים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ושוליים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שנחקר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טורח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לבדות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מליבו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סדר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כרונולוגי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המניע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למעשים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נרצח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התעצבנתי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ורציתי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לנקום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פגשתי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2)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בגאולת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זוכר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דיברנו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רציתי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לבדוק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13-22).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פגישותיו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הרוס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במזרח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היתכנות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נערכה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תצפת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החליטו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שיבצעו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יתאפשר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ימשיכו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27-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9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23).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שיפגשו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ביישוב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בסביבות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23:00,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החליט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10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3-23;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21-32).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הציוד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שלקח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בפירוט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כבקבוקי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זכוכית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בגודל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ליטר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וחצי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קופסת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גפרורים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ומצית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חתיכות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סמרטוטי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כפפות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פשוטות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וספריי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גרפיטי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2-3).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המוקלטת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הנוגעים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בדייקנות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לשאלת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החליטו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התפקיד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ברשותו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/5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13-22).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לבושו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מכנסי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חולצות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ונעליים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בלנדסטון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בהגיעו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חולצה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השרוולים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להסתיר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1-11).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תיאור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ייחודי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הסתיר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פניו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דוגמא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המלמדות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אותנטיות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גרסתו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גרסה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לרצות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חוקרו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במסכת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כובע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סטנדרטיים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המסלול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מביתו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הגיעו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הצית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בדרכו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בהגיעו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לצידם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מכונית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4-6).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בדרכו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עיזים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9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35).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בסיכומיה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1462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12-19)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לתוככי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ומקשה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לברוח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בשורת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והסברו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היטב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ומלמד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36-39;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6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1-9):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להיכנס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בשורה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אחרונה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הרתעה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הרתעה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להסביר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ההחלטה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הרתעה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כשהפיגוע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הערבים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מובן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שיגיע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אליכם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בהרחבה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הצית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קפץ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סיבוב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בניסיון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פתוחים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ופתח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הבקבוקים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דחף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הסמרטוטים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לתוכם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הכניס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ומגן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ההזזה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וכתובת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המצויה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הדליק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הספריי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6-8).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שמפרידה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וצעד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ופשוט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השלישי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הדליק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לשאלת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התנפץ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לסורגים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שיתכן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וחלקו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9-10).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תיאורו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הימלטותו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מזירת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ייחודיים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שהחל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לברוח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נפל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שנתקל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במשהו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11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11-14).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הוריד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הכפפות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ושרף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מעליה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הכפפות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המצית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והגפרורים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16-23).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המפורטים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הנמסרים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מלמדים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מזיכרונו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ויובהר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היסס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ישנם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זוכר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ריסס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להיפך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36).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התנהלות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מצביעה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כוזבים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בניסיון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לרצות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גרסה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לזיכרונו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וידיעותיו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בפתח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הוצגו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שרטוטים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שצייר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בשרטוטים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מופיעים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רשימת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המתועדת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השרטוט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לשרטוט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סיכומיה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השרטוט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שנפסלה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מלשמש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בשרטוט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תיאורו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בטרם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ללמד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להודאתו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תיאור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מתיישב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מדויק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והממצאים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שנאספו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המתועדת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שכתבו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ומבקש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מקשיב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בריכוז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ומדייק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המופיע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4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28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9:23);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13-23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10:46);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9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15:47);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33-36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17:19)).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התנהלות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מהימנות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בפרק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החקירות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המוקלטות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פנימי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מצטרף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ההובלה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וההצבעה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לקביעת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מהימנות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.3.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ההובלה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וההצבעה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הובלה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והצבעה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המתועדת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מאוחרת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אמויאל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שניהל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משטרתית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שיתף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עדכון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1284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4-15;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1300-1307).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עדכון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שנמסרה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שניהל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סטייה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מנהלי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ומפחיתה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ממשקלו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ממושכת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קונקרטית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הסותרת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ובצפייה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רומז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בסיכומיה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שסימן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כתוצאה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המצויים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בסביבת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השפיעו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למקומות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הרלוונטיים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בסרטון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מהסימונים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הנטענים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הנגדית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לנכון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להתלוות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תפקידו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כראש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הממושכת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המפורטת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יימנע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מלהתלוות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נשמע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הירידה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נצפה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מרחק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מהנעשה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בנוכחותו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צפייה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מלמדת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מתמצא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שקלט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בפירוט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שקבענו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הרושם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המתקבל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מצפייה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בפתח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ההקלטה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להתחיל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רגלי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/4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31).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ירידתו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לכסות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יבלוט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לבלוט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/4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14-38).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בחלקים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שמוביל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בבטחה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ומוסר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מגבלות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ביטחוניות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מסלול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הליכתו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בתוככי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שהוצתו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/160,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1284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16-23).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בתחילת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ההקלטה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מזהה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ומשיב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ירידתו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והליכה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קצרה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שמזהה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ומפנה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הליכה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ציון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המופיעות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בתיאור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המוקלטת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ומבלי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הגעתי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הנתיב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בריחה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התקדמתי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המטע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קפצתי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לכביש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העיזים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שהרכב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וקמק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בערך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..."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/4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6-7).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המסלול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המוביל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שהוצתו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בהגיעם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המאפשרת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ושמאלה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לשביל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המוביל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וחסם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11:30). 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שמקנה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צעידתו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מהנקודה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בדייקנות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מורכבת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הכוללת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שביניהם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גדר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מוקפים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חיצונית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/162).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מכלול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בהגיעו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ומדגים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קפץ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ומדגים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לאיתור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ההזזה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יידוי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זריקת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הספריי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ופקקי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הבקבוקים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/4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8-10). 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קפץ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השלישי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מדגים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הצתת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וזריקתו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נפילתו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הבריחה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/4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12-13).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מידיעתו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ניחש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והסיק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מההיגיון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למבנה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שהבטון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/4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6-7).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בעמודים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בולטים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העמודים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מלמדים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בניחוש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ניכר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מקפיד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לדייק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ולציין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שמוסר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משוכנע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שצוירה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הכוללת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כשלצדו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ציירתי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הכתובת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המשיח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זוכר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/4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10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12-17).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תואמים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להגעתו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הזכיר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הכתר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לנסות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להיזכר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זוכר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8).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מלמד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הדיוק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והאותנטיות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דוגמא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התייחסותו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גרפיטי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בערבית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המופיעות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/4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24-25;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בתמונות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שצולמו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להבחין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לעמודי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במפורש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ניחוש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יכולתו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לשחזר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התנהלותו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בזירת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המורכבת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והסבוכה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מדויק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וזהה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להתרחשות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פירט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מצביעה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משקלם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הגבוה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ושוללת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ניחושים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שמנחש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משכנע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היטיב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ולהיחקר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המילוט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בירידה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בדרכו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להוריד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כיסוי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שחצה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לשרוף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האמצעים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/4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15-16).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המילוט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בריחתו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החוויה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בהינתן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נמלט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לסימני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התמקד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בניסיון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והרחק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ולפיכך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המסלול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המפורט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אציע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לחבריי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הודאות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אותן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החקירות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המוקלטות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ושחזור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מעשיו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ההובלה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וההצבעה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הינם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פנימי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בהודאות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עקביות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מפורטות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וסדורות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עולים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אותות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bidi w:val="1"/>
        <w:spacing w:line="360" w:lineRule="auto"/>
        <w:rPr>
          <w:rFonts w:ascii="David" w:cs="David" w:eastAsia="David" w:hAnsi="David"/>
          <w:b w:val="1"/>
          <w:sz w:val="28"/>
          <w:szCs w:val="28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המבחן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החיצוני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- "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"</w:t>
      </w:r>
    </w:p>
    <w:p w:rsidR="00000000" w:rsidDel="00000000" w:rsidP="00000000" w:rsidRDefault="00000000" w:rsidRPr="00000000" w14:paraId="0000012D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bidi w:val="1"/>
        <w:spacing w:line="360" w:lineRule="auto"/>
        <w:rPr>
          <w:rFonts w:ascii="David" w:cs="David" w:eastAsia="David" w:hAnsi="David"/>
          <w:b w:val="1"/>
          <w:sz w:val="28"/>
          <w:szCs w:val="28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.1.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יכולת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לשחזר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פסיקת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ביכולתו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5975/14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אגבריה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(31.12.2015)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אגבריה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לעיתים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בשחזור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הפשע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ואפילו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כנוצה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שהרי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מתמלא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מחוליתו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לגופו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חיזוק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אגבריה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כחיזוק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הביטחון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שהפגין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הדגמת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ודיוק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שהרחבתי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יכולתו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לשחזר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כמעט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היסוס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המסלול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פעולותיו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נערך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חמישה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חודשים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ומתבצע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בשעת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מאוחרת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בתוככי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ערבי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משולט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תאורה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ובתוך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מתחם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מצדיקה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עצמאי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לשחזור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צודקת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בטענתה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תוואי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שהפגין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לפיכך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בענייננו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כראיה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נלווית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להודאות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המצביעה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משקלן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הפנימי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כראיה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המאמתת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6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.2.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פרטי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מוכמנים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מוכמנים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עשויים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לדרישת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הרציונל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מסירת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ידועים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תואמים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המציאות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החשש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כוזבת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הראייתי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המוכמנים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טיבם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ושכיח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כתוספת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ראייתית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ומיוחד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כסיוע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זדורוב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311).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שהתברר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תואמים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הממצאים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מדויקים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שחנה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לבתים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בצבע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שחור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לכניסה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לבתים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6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14-17).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מיוזמתו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/4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17). 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צבע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לחוקרים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1253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21-24).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ואיתרו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סקודה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דוואבשה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הנתון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1287-1288). 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בתמונות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שצולמו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הגעת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השחור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מופיע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בהודעתו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דוואבשה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1.8.2015,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שארע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וטרם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הזיז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רכב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סקודה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להתפשט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לכיוונו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/223,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/224).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בהודעות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מצוין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צבע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דוואבשה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סקודה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2012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1323- 1324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לפרוטוקול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),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וסימן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תצלום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אווירי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מכוניות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/227),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הצביע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בשחזור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נגבתה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מחוסיין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1326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11-14),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ולאחריה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/163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29.12.2015),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כחדש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הודעותיו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ומועד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מחוסיין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מתיישבים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צבע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פעלו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לבררו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שוחחו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ביררו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בהחלט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נגבתה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שהוזז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ביררו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מאפייניו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וצבעו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מהותיים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אודותיו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מהימנות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גרסתו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מהימנות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מקבלת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הסקודה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מתיישבת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חוסיין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1326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18)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התרשים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שצייר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/227),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הסקודה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שחסמה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ומכיוון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הגעתו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הבולטת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מאפייני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החלונות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דרכם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נזרקו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בקבוקי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בהגיעו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להציתו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השלישי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מוגן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יתושים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לזרוק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9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36-37;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/4,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5). 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וארז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1253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21-26;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1288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3-8)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קיומה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בטרם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כמעט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השריפה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בתמונה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/158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להבחין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בקיומה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המתבונן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בולטת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הנמנע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לקיומה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תקריב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לתמונה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להבחין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בשרידי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/164,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תקריב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30.12.2015).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הרשתות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בחלונות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שהתקין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הרשתות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1325-1326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לפרוטוקול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נגבתה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מחזקת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מצטרף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מוכמן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הכיוון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הוסטה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הרשת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הכיוון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לזריקת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לימין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/4,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25:00).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ספונטני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ומבלי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התמונות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/159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-6),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ההזזה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הימני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מנקודת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מבטו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ויצוין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הרשתות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לפתיחה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הכיוונים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1325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25-32).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זריקת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היגיון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מתבקש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המצויים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סגורה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יושבי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היתושים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תיאר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במדויק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חלונות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אליהם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בקבוקי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חלונות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מהותית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מזה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הסורגים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המותקנים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בתיאורו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סורגים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ממצאי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2-9;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/158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30).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זיהוי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החלון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דרכו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הושלך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ממצאי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במרחק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ומצביע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במסלול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הליכתו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להגעתו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/4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23:07).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מצפיה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להתרשם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עריכתו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חודשים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נותרו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ייחודיים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המצביעים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הושלך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מהמרחק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שמצביע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האופן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התנפץ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כשהשליך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התנפץ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סורגי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החלון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10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1-25),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חלקו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חדר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תיאור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בקנה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ממצאי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זכוכית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חתיכת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שרוף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סורגי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/158,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15-17).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צודקת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מהימנות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שקרית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בהתחשב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בתוצאה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הקטלנית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בשלמותו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היתכנות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ממרחק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שלשיטת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לנזק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שנגרם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לסתור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ממצאי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התנפץ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מאפייניהם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בקבוקי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בקבוקי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זכוכית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ירוקים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4-15;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/4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11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16-18),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הזכוכית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/158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15-17).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מאפייניה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הייחודיים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זירת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בטרם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נערך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תיאר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מאפייניה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הייחודיים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מאפיינים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התבררו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כמדויקים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בתוככי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המטע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להבחין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בתצלום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האווירי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/160);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הימצאותן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עיזים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לכבשים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1324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לפרוטוקול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העיזים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נשמעים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המרחק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החיצונית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הגבוהה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המקיפה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והחומה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הפנימית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המפרידה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לקפוץ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תצלום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/162).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bidi w:val="1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.3.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הסבריו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לידיעת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הפרטים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המוכמנים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אינם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אמינים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המשטרתית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27.12.2015,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שהסתיימה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המפגש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נועץ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בפתח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דקות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ארוכות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והאמצעים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שהופעלו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/6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10-18).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ומדויקים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מחוקריו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באמצעי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התקשורת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/6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 6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 5-23).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ידיעתו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העיזים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הנמצאות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לזירה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ששמע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בתוכנית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טלוויזיה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בסרטון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עיזים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וכבשים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ברקע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/6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8).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המקיפה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מסרטונים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/6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10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22-32).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לשאלות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טלוויזיה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סמארטפון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בסרטונים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במכשיר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האייפון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/6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32-39;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9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1-6),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במכשירי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האייפון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/6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1).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לצפות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בווידאו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יאלץ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לצפות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/6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9-28).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גרסתו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נודעו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מאמצעי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התקשורת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עומדת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בסתירה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מוחלטת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לאמרות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מלמדות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ניתוקו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המוחלט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והחריג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אמצעי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המדיה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תרגיל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המדובבים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שומע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רדיו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טלוויזיה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עיתונים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45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המתועדת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סרטונים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טלוויזיה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עיתונים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7).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הנגדית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טלוויזיה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גולש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באינטרנט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956).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אשתו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בטלוויזיה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עיתונים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באינטרנט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באומרה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בתקופה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ברשותה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מכשיר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טלפון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חכם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1401).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הייחודי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לניתוק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מהתנהלותו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אזכיר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התנהגותו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השמעת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ברדיו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968);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סירובו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לצפות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בסרטון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כמתואר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וישיבתו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ובעיניים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עצומות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השתדלותו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להסתכל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957).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צודקת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ייחודי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בקפידה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שעלולים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להיקרא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בדרכו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סרטונים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שפורסמו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מאפייני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מלמדת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האמינות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הכללי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בסיכומיה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בגרסת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למסור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ששמע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חוקריו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המוכמנים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ידועים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לחוקריו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שוחחו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/6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9-10).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לקיומה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יתושים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שנית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טענותיו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כלליות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ומעורפלות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והעיתוי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נאמרו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וכשנשאל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/6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11,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1-6).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לצפות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ארוכות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לזכור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בבהירות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ובפירוט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נמסרו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מחוקריו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במבחן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שלישית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מתיישבת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חקירותיו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בהרחבה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נמסרו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וכללו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אינספור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בדייקנות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ומפורטת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התואמת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ממצאי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רביעית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בכוונת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מכוון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ונמנעו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הוטחה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מחוקרי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העידו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ונחקרו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נגדית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זומנו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שנערכה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הוקראו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רלוונטית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והתצפיות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הנוגעים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לסיכום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מפורטים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מוכמנים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ומשמעותיים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אומתו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ממצאים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שנמצאו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ידועים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למסירת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משקלם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הסבריו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במשטרה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לידיעתו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מוכמנים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משכנעים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לפיכך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צבר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המוכמנים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מהווים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תוספת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ראייתית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משמעותית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.4.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דחיית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הגרסאות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הנאשמים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/104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7.12.2015),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ההיפותטית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למופיע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דוגמא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היפותטית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בהצלחה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פוליגרף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למישהו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שתכנן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השתתף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במפורש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שקדמה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לחקירות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שנערכו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הדימיון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שוחחו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שוחחו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בתקופת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אינדיקציה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לתיאום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כראייה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לעצם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להוראותיו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לפקודת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הגרסאות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תוספת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ראייתית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הנוגע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וקשירת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ההיפותטית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העומדים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במשותף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ומשנאשם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באמרותיו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במחלוקת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שנפלה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לפקודת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],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-1971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218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שנתן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כראיה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בהליך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פלילי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נתקיימו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578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578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נותן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האמרה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וניתנה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לצדדים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הזדמנות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לחקרו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578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מכחיש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זוכר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82">
      <w:pPr>
        <w:bidi w:val="1"/>
        <w:spacing w:line="360" w:lineRule="auto"/>
        <w:ind w:left="567" w:firstLine="0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rtl w:val="1"/>
        </w:rPr>
        <w:t xml:space="preserve"> 10</w:t>
      </w:r>
      <w:r w:rsidDel="00000000" w:rsidR="00000000" w:rsidRPr="00000000">
        <w:rPr>
          <w:rFonts w:ascii="David" w:cs="David" w:eastAsia="David" w:hAnsi="David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rtl w:val="1"/>
        </w:rPr>
        <w:t xml:space="preserve">קובע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חריג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לכלל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הרלוונטי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למצבים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אמצעי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פסול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שימש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להניא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למנוע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מנותן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האמרה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למסור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עדות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חריג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מתקיים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בענייננו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183">
      <w:pPr>
        <w:bidi w:val="1"/>
        <w:spacing w:line="360" w:lineRule="auto"/>
        <w:ind w:left="567" w:firstLine="0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בפסיקה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נקבע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rtl w:val="1"/>
        </w:rPr>
        <w:t xml:space="preserve">לעניין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rtl w:val="1"/>
        </w:rPr>
        <w:t xml:space="preserve"> 10</w:t>
      </w:r>
      <w:r w:rsidDel="00000000" w:rsidR="00000000" w:rsidRPr="00000000">
        <w:rPr>
          <w:rFonts w:ascii="David" w:cs="David" w:eastAsia="David" w:hAnsi="David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המעיד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להגנת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לרבות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המתנהל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נגדו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ונגד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נאשמים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rtl w:val="1"/>
        </w:rPr>
        <w:t xml:space="preserve">ראו</w:t>
      </w:r>
      <w:r w:rsidDel="00000000" w:rsidR="00000000" w:rsidRPr="00000000">
        <w:rPr>
          <w:rFonts w:ascii="David" w:cs="David" w:eastAsia="David" w:hAnsi="David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rtl w:val="1"/>
        </w:rPr>
        <w:t xml:space="preserve"> 501/81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אבו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חצירה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rtl w:val="1"/>
        </w:rPr>
        <w:t xml:space="preserve">(4) 141 (1982).</w:t>
      </w:r>
    </w:p>
    <w:p w:rsidR="00000000" w:rsidDel="00000000" w:rsidP="00000000" w:rsidRDefault="00000000" w:rsidRPr="00000000" w14:paraId="00000184">
      <w:pPr>
        <w:bidi w:val="1"/>
        <w:spacing w:line="360" w:lineRule="auto"/>
        <w:ind w:left="567" w:firstLine="0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מסירתן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חופשי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ומרצון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לסנגוריו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ניתנה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לחקור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אמרותיו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הטיעון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צודקת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עתירתה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לעצם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האמרה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המדויק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וכוונתו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נדרשים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עריכת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ההשוואה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הגרסאות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מתחדדים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באמרה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המתועדת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בזכ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לפיכך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בזהות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הגרסאות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תוספת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ראייתית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טענות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סותר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מכלול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שהוצגו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העומדות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בסתירה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למפורט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לאמיתות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והשחזור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במשקלם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הסתמכות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8E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ד</w:t>
      </w:r>
      <w:r w:rsidDel="00000000" w:rsidR="00000000" w:rsidRPr="00000000">
        <w:rPr>
          <w:b w:val="1"/>
          <w:u w:val="single"/>
          <w:rtl w:val="1"/>
        </w:rPr>
        <w:t xml:space="preserve">.1. </w:t>
      </w:r>
      <w:r w:rsidDel="00000000" w:rsidR="00000000" w:rsidRPr="00000000">
        <w:rPr>
          <w:b w:val="1"/>
          <w:u w:val="single"/>
          <w:rtl w:val="1"/>
        </w:rPr>
        <w:t xml:space="preserve">עד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הראייה</w:t>
      </w:r>
      <w:r w:rsidDel="00000000" w:rsidR="00000000" w:rsidRPr="00000000">
        <w:rPr>
          <w:b w:val="1"/>
          <w:u w:val="single"/>
          <w:rtl w:val="1"/>
        </w:rPr>
        <w:t xml:space="preserve">- </w:t>
      </w:r>
      <w:r w:rsidDel="00000000" w:rsidR="00000000" w:rsidRPr="00000000">
        <w:rPr>
          <w:b w:val="1"/>
          <w:u w:val="single"/>
          <w:rtl w:val="1"/>
        </w:rPr>
        <w:t xml:space="preserve">אברהים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דוואבשה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דוואבשה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מתגורר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הודעתו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נגבתה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השוטר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/226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31.7.2015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6:00;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סטיבן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/226). 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2:09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במרפסת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דוואבשה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צועק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לעזרה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ואביו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לכיוון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בהגיעו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שרועה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הכניסה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מוטל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במרחק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1.70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חולצה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ארוכה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מכנסי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ינס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שמכסה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והפנים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סנטימטרים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ומסכה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ממרחק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הסתובבו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ורדפו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נבהל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לכיוון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לעזרה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וכשחזר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ואחיו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הוציאו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הצליחו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להוציא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התינוק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שנגבתה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למחרת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/224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1.8.2015),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בהגיעו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מתכופפים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ומסתכלים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שבוחנים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/224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15-16);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בתחילה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והחלו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מהזירה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לכיוון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שמובילה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לכביש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שעברו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תנועת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מתכוונים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לרדוף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לכיוון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/224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19-22).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/224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48-49). 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שהאש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להדליק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סקודה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לעצים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/224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39-41).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בתחקור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2.8.2015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/225)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עיקרי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הוסיף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הוסיף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ברעולי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מכופפים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למנוחים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שבודק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כיסיו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ומסתכל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שמחפש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לאיבוד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השמיע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לעזוב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בקצב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ובשלב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ונעצרו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הגבוה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הכניס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לכיס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והחל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להתקדם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נבהל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מנוסתו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נזרק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הודעותיו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/223-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/226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הוגשו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בהסכמת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בסיכומים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לפקודת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במחלוקת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הסיכומים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מהודעתו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סותרת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שבהודעה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המוסכמת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שהגישו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31.12.2018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הוצהר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מוסכם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שהמאשימה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לטעון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בסיכומיה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שעולה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שעמדו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המבצעים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הסקת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מסקנות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פרשנות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לסיטואציה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מנגד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לטעון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בסיכומיה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שמעורבים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בשריפה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שהתלקחה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בעצם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הטיעון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מסוייגת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כראיה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4736/91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פטאיר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(25.4.1994)).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עותרת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פלגינן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דיבורא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להפריד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שאברהים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להזזת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מזירת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מפגעים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שעומדים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ומסתכלים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פרשנות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לסיטואציה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פרשנות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נתמכת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מתיישבת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ההיגיון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שמזכיר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תושבים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מהכפר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ואפם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בחולצתם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לשאוף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העשן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פילוגה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באירוע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ובהפרדת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שהפיצול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שרירותי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הזזת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שביצע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להבדיל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מהסקת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מסקנה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פרשנות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לסיטואציה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נקלע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הנוגעים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הזזת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מתיישבת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הנוספות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ומסבירה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בבוקר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במלואה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ואובייקטיבי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נמסרה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בטרם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התגבשו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כיווני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ואותרו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ספציפיים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חיזוקים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טביעות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הנעליים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מסקנה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והיסק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שמבקשת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בתיאור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מוביל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למסקנה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המתבקשת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מבצעי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הוצג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לפילוג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להיעתר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לבקשת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הוגשה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בהסכמה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לעמתו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רוחשת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הוסיפה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שהציגה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בתושבי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שהגיעו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למנוחים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מתקבלת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לבושם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שהגיעו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התיאור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התנהגותם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שרכנו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הקורבנות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בדממה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מוחלטת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לנסות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להזעיק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עזרה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ומשנראתה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דאגו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להניסה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התקרבות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מאיימת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נמלטו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בדממה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שנזעקו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ותומכת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במפגעים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הדגישה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חזיתי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המסקנה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המתבקשת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משקפות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שאירע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במציאות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מפחית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ממשקלן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בסימני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לחייב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זיכויו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הודעותיו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בהסכמה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הסכמתה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בסיכומיה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מייחסת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להודעותיו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מתבקש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שידעה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מראש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כוונתה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מבצעי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הודעותיו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ממצאים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עובדתיים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הודעותיו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הודעותיו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לשלושה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נושאים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הזזת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שנחזו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בעיניו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כמפגעים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השלישי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התנהגותם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והאינטראקציה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להזזת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תימוכין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חיצוניות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להסתמך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לתיאור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התנהגותם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חזה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מההודעות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התיאורים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מלמדת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מתיישבים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ההיגיון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במפגעים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שנזרק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ימתינו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לצאתם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דוואבשה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ויעמדו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מרגע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שהושמעו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צעקותיו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לרדוף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מההודעות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התרחשות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מרובת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שנמשכה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מאוחרת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הסיטואציה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נקלע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במפתיע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רגשות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לקלוט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בבירור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ובדיוק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שארע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הודעותיו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לברר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הביטחון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ולקבל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התייחסותו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מתיאוריו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לעצם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נוכחותם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צודקת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לבושם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שהציעה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שהגיעו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קביעתי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כמפגעים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חסרי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היגיון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משליכה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הודעותיו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מפגעים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נעלמה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מעיניהם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הנושא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נבדק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ובסופו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הראייתית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נותרה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בגדר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תחושה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תחושה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החמצה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1267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26-29;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1278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8-17). 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שהוצג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בפנינו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נותרה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כתהייה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אניח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אברהים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נצפו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מפגעים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להפחית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ממשקלה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הגבוה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ומתוכנה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המפליל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שמסכת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הנגלית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משליך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המסקנה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5706/11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127 (11.12.2014)).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כתוארו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דאז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גרוניס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וולקוב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30):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סתירות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להציג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לסתום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הגולל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מהימנותה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שהפסיפס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הראייתי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מושלם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שקיימים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חללים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ראייתיים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מוסברים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ותהיות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חסרות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חוסמת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בהכרח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להרשיע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המארג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הראייתי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הקיים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התהיות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הבלתי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מוסברות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המסקנה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שהאשמה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".</w:t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בהרחבה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המוכמנים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תוספת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ראייתית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ושוללים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לבדו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המעשים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בעצמו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מסתיר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מופרכת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ומתיישבת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אופיו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והתנהגותו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סירובו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חקירות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למסור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פעילים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הדגיש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החשיבות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שנותן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הכוח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להישבר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בחקירת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השנייה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התבקש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למסור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עימם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פעל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951, 955).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ויובהר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בפלילים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שמכלול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מלמדות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ההמתה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בהרחבה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במדויק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ממצאי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ד</w:t>
      </w:r>
      <w:r w:rsidDel="00000000" w:rsidR="00000000" w:rsidRPr="00000000">
        <w:rPr>
          <w:b w:val="1"/>
          <w:u w:val="single"/>
          <w:rtl w:val="1"/>
        </w:rPr>
        <w:t xml:space="preserve">.2. </w:t>
      </w:r>
      <w:r w:rsidDel="00000000" w:rsidR="00000000" w:rsidRPr="00000000">
        <w:rPr>
          <w:b w:val="1"/>
          <w:u w:val="single"/>
          <w:rtl w:val="1"/>
        </w:rPr>
        <w:t xml:space="preserve">עקבות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צמיגים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וטביעות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נעליים</w:t>
      </w:r>
    </w:p>
    <w:p w:rsidR="00000000" w:rsidDel="00000000" w:rsidP="00000000" w:rsidRDefault="00000000" w:rsidRPr="00000000" w14:paraId="000001C2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מתושבי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הכביש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המוביל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מהעדים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נלקח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להצביע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בכביש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הצמודה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נמצאו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עקבות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צמיגים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נציגי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נקראו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השוטרים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השוטרים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מתפרעים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ולהבעיר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צמיגים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ליטול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יציקות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העקבות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תועדו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בצילום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/230).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הכיוון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ההימלטות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ברכב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נבחן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מעמיקה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1251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25-26;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1282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26-27;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1284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1-3).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חיפוש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היכולים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לעדויות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ולעקבות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הצמיגים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נעצרו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בגזרה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המחזיקים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לתיאור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הוביל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לממצאים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1294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26-30).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המוביל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מהכפר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הכביש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עקבות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נעליים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נתפסו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/158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53-54,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/167),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בלנדסטון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1294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19-20).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נתפסו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המשטרה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נעליים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מפעילים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בגזרה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בלנדסטון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6-9;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1318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5-9).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ההשוואות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שבוצעו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העקבות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שאותרו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הובילו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לטביעת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מסוימת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להצביע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חשוד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פוטנציאלי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1294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2).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ההתרשמות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מעדויות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ומהראיות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שהובאו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והנעליים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נבדקו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ביסודיות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כיווני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לממצאים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שאותרו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משבדיקות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הובילו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לממצאים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ברורים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עקבות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הצמיגים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וטביעות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הנעליים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שנמצאו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קשורות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לפיכך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באיתורן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לזירה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להשליך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משקלה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הודאת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CA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.3.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כתבי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היד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שנמצאו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בזירה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כזכור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גרפיטי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הכתובת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ומעליה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המקיפה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הכתובת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ולצידה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מומחה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שנכתבה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קרויטרו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/9),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גרפולוגית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השוואה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מסקנתה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עורכת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כתבי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הגרפיטי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שייך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שהוגשה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מבוססת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ואיני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בקצרה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מפרטת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המומחית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למסקנתה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מקצועית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בתחום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טיבם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ודוגמאות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הופעתם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הגרפיטי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בעדותה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הותירה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קרויטרו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ובלתי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מקצועי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לניסיונה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המקצועי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השוואת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המסמכים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השיטות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המקובלות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בתחום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השוואת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המסמכים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הנגדית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מסמכים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מחלוקת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נכתבו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המומחית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נכתבו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שלדבריה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הכתיבה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1452).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התעקשה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מפסיקה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1453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7).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סיכומיה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ובעל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מבקשת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להתבסס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שהוגשה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בסיכומיה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למחדל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הוגשה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במחדל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ימצאו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תואמות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בעדותו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הסביר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לניסיונו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להשוות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כתבי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כשמדובר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כתובות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גרפיטי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1291)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23-27). 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לעגן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אמירה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ערוך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מומחה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במזכר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שהנושא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נבדק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במחדל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להפחית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משמעותית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ממשקלן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לחילופין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עיניים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בכתבי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שצייר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הכתובות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סגנון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כרצונו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ובהקשר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ואציין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מהטעמים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שהבהיר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ד</w:t>
      </w:r>
      <w:r w:rsidDel="00000000" w:rsidR="00000000" w:rsidRPr="00000000">
        <w:rPr>
          <w:b w:val="1"/>
          <w:u w:val="single"/>
          <w:rtl w:val="1"/>
        </w:rPr>
        <w:t xml:space="preserve">.4. </w:t>
      </w:r>
      <w:r w:rsidDel="00000000" w:rsidR="00000000" w:rsidRPr="00000000">
        <w:rPr>
          <w:b w:val="1"/>
          <w:u w:val="single"/>
          <w:rtl w:val="1"/>
        </w:rPr>
        <w:t xml:space="preserve">האפשרות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אירוע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ההצתה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בוצע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רקע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פלילי</w:t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פלילי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סכסוכים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חמולות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דומא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סיכומיה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מלמדת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באפשרות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שנבדקה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נשללה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הנחות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באירוע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פיגוע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שבוצע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והנחה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באירוע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שבוצע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פלילי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כלשהוא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ערבים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תפיסות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התפיסות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ושתיהן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נבדקו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1251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1352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הבדיקות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שערך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הכיוון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הפלילי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נעשו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בירורים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מודיעיניים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המחלקה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הרלוונטית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ובסופו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הביאו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להזמתו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הבדיקות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המודיעיניות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שבוצעו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בציר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הערבי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הגיעו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הניבו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שראוי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להיחקר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ולעומתם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הבדיקות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שבוצעו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בציר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התרחבו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והעלו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ממצאים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שבסופו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הערבי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הוזם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1263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26-28).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סממני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קיומם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כתובות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ותוכנן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הצביעו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בפיגוע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לאומני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הועברה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ומצאו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התנהגויות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בגזרה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עזיבת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הגזרה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ומעברו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לירושלים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1283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18-32).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לסיכום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המפורט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סותר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להפחית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ובוודאי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ממשקלן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הגבוה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הימנעות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מלהעיד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162(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לחסד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הימנעות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מהעיד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עשויה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חיזוק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למשקל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שדרוש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...".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מילשטיין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עקרוני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בהימנעות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כתוספת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ראייתית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המאפשרת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להרשיעו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שבהסתמכות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הימנעות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תוספת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שמקורה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מיעוט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בשתיקת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תועדה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בווידאו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המאפשר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להתרשם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להימנע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מלראות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בשתיקתו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להכיר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בחריגים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הענקת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שיקול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לערכאה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הדיונית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פירטה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הערכאה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הדיונית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בהפעלת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שיקול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33):</w:t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שוכנע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שלילת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לחץ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מכלול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החיצוניות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ויערוך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מדוקדקת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סיכון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השלישי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לשתיקתו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ויברר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מלחץ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כלשהו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חיצוני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להשתכנע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אפוא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בסיס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מכלול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נסיבות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העניין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שתיקתו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נובעת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המסקנה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המתבקשת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שאכן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ההאשמות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המופנות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כלפיו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בהרחבה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הקודמים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קוהרנטיות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מפורטות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ומשכנעות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היגיון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וסימני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צפייה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ובחינת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המוכמנים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מתיישבים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היטב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ממצאי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שוללים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למבחן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השלישי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אזכיר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שתיקת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לתחושת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החלטתנו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אפוא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באקט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מחאתי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בלחץ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כלשהו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המונע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להגנתו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רצח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שלושה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קורבנות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גרסת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מזכה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ואמינה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ומעיד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חרף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אכזבתו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מהכרעתנו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מאלצת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להתמודד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משכנעים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ולתיאור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ההימנעות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העמדתו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מעמידה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החפות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בסכנה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סיכונים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הכרוכים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בהחלטתו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מתקיימים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שנקבעו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מילשטיין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בהימנעות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האליבי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לחסד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שכותרתו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להעלאת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לטעון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הייתי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האליבי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לפיה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בביתו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אשתו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התרחשות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לראשונה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שניתנה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הועלתה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וחברתה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הועלתה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ישיר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בחקירותיו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בסיכומיו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הסנגור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לנכון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הסנגור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אתעלם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מהפגמים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הנוגעים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לעיתוי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שלגופם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העלתה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לפיו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שמסרה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והבוקר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שלאחריו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מבוססים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ואינם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עקביים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להסתמך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נקבל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הזמנים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העולים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מדבריה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העדה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שוללים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התרחשות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האירועים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המתוארת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מצטרפת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עיקש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האליבי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הנטען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משער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שבעדי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/6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6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7).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צודקת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במדויק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המתגוררים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בגזרה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31-35). 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ולמסור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מלמדת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חולשתה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פירטה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זיכרונה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1382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6-20):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זוכרת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שבשעה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זוכרת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בוודאות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בבוקר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לקחת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מגאולת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למעיין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זוכרת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נהיה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מאוחר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ואמרתי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לעצמי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לעמירם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והלכנו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לישון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ישנים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במשאית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זוכרת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שהתעוררתי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4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בבוקר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ופחדתי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שפספסתי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הסתכלתי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בטלפון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וראיתי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שהשעה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לנמנם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בבוקר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הערתי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עמירם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ויצאתי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מהבית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שישמור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הילדה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כמעט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בטוחה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אחוז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התעוררתי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להניק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הילדה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יונקת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הלילה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-5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זיכרון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שהתעוררתי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להניק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עמירם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נבהלת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...".</w:t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נזכרה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בקורות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הופתעו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שקיימו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ואמרה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להיזהר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מהתפרעויות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התקשרה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וסיפרה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משהזכירה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נזכרה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ומוקדם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ימשיך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1383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11-24).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נחמה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בעדותה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הטלפון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שהזכירה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ותיארה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תגובתה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למשמע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1373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10-19).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כשנזכרה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מלמדת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מהימנות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הנגדית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התברר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זומנה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12.11.2015,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מעצרו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התייצבה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1385-1386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לפרוטוקול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משיחה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שניהלה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/246)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שוחחו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18.11.2015,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נחקרה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אזהרה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שיכולה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למסור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אליבי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שתיקה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/244).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התייחסה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ברצינות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1388). 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לפרוטוקולים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10.12.2015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16.12.2015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/242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/243),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נציגי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הימצאותו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ודרש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תברר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שהמשטרה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שהעלתה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ברגע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תפקידה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לאסוף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לחקור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משהעלה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ההשערה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זומנה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28.12.2015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/245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58-61).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התיימרה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להציג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בהודעתה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ובעדותה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סדורה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והבוקר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שלאחריו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זוכרת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1:00.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הנגדית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הוצגה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שערכה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מעצרו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בסביבות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חצות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/246,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2.12.2015).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לתקשורת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שערכה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15.11.2018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00:30.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שהוטחו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אישרה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ייתכן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שהלכו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לישון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מוקדמת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1:00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1390-1392;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1395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18).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ויצויין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שהלכו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1396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1-5).</w:t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בעדותה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ובחקירתה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בסביבות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10:00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להחזיר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מהמעיין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הוצגו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9:06-9:09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אישרה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זוכרת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המדויקות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/145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144-147;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1393-1394).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1:00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-5:00.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מעורר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תמיהה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זוכרת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4:00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וחזרה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היציאה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והחזרה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מהמעיין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אמירתה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זוכרת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אירועי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הלילה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ובפרט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הלכו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לישון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במדויק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אמינה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יוזכר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נמסרה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חודשים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זוכרת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הזמנים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הצביעה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סותרים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בהכרח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תיאוריו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ייתכן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שתיארה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בשיחתה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בסביבות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00:00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רגעים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4:00.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בסביבות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23:00-24:00,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10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14;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/5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21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23-27).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שקיימה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22:30,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1418).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לבסס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מחלוקת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הימצאותו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הליכתו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21-27;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4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33-35).</w:t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2:00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/223-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/226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בריצה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חזרה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3:00.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לביתו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ובעוד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ישנה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התקלח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החליף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בגדים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לישון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12-18).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ייתכן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שבטווח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מהמשאית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תתעורר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במשאית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התגוררו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מאולתרת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חורקת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כשפותחים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מישהו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שומעת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1384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1-10).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הנגדית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1396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19-22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לפרוטוקול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צהריים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מתעוררת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מהרעש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שאשתו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המבררות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ליציאתו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וחזרתו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מאוחרת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/219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23-26).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במלואן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ופעל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למנוע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יוודע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לאשתו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צאתו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שאשתו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נרדמה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שהתעוררה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התעוררה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מהרעש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נגרם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כניסתו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התקלח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והחליף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הבנזין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שנדף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ללבוש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הבגדים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המקוריים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שלבש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ליציאתו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שאשתו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הצליחה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לבסס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האליבי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בעדויות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להעלות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המעשים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המהותי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סיכום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זה</w:t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השחזור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המוכמנים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תוספת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ראייתית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הסתירות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במשקלן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הימנעותו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המחזק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שהעלתה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המפורט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אציע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לחבריי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הודאותיו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הוכח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ביצע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העובדות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המנויות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באישום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שבכתב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2C">
      <w:pPr>
        <w:bidi w:val="1"/>
        <w:spacing w:line="360" w:lineRule="auto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יסודות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עבירת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הרצח</w:t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מחלוקת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דוואבשה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נגרם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כתוצאה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שקבעתי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התקיימו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הנפשי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והיעדר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קנטור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tabs>
          <w:tab w:val="left" w:pos="288"/>
          <w:tab w:val="left" w:pos="720"/>
          <w:tab w:val="left" w:pos="1296"/>
        </w:tabs>
        <w:bidi w:val="1"/>
        <w:spacing w:after="80" w:line="360" w:lineRule="auto"/>
        <w:rPr>
          <w:rFonts w:ascii="Bodoni" w:cs="Bodoni" w:eastAsia="Bodoni" w:hAnsi="Bodon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tabs>
          <w:tab w:val="left" w:pos="288"/>
          <w:tab w:val="left" w:pos="720"/>
          <w:tab w:val="left" w:pos="1296"/>
        </w:tabs>
        <w:bidi w:val="1"/>
        <w:spacing w:after="80" w:line="360" w:lineRule="auto"/>
        <w:rPr>
          <w:rFonts w:ascii="Bodoni" w:cs="Bodoni" w:eastAsia="Bodoni" w:hAnsi="Bodoni"/>
          <w:b w:val="1"/>
          <w:u w:val="single"/>
        </w:rPr>
      </w:pPr>
      <w:r w:rsidDel="00000000" w:rsidR="00000000" w:rsidRPr="00000000">
        <w:rPr>
          <w:rFonts w:ascii="Bodoni" w:cs="Bodoni" w:eastAsia="Bodoni" w:hAnsi="Bodoni"/>
          <w:b w:val="1"/>
          <w:u w:val="single"/>
          <w:rtl w:val="1"/>
        </w:rPr>
        <w:t xml:space="preserve">ההחלטה</w:t>
      </w:r>
      <w:r w:rsidDel="00000000" w:rsidR="00000000" w:rsidRPr="00000000">
        <w:rPr>
          <w:rFonts w:ascii="Bodoni" w:cs="Bodoni" w:eastAsia="Bodoni" w:hAnsi="Bodon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u w:val="single"/>
          <w:rtl w:val="1"/>
        </w:rPr>
        <w:t xml:space="preserve">להמית</w:t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296"/>
        </w:tabs>
        <w:bidi w:val="1"/>
        <w:spacing w:after="0" w:before="0" w:line="360" w:lineRule="auto"/>
        <w:ind w:left="567" w:right="0" w:hanging="567"/>
        <w:jc w:val="both"/>
        <w:rPr>
          <w:rFonts w:ascii="Bodoni" w:cs="Bodoni" w:eastAsia="Bodoni" w:hAnsi="Bodon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ההחלטה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להמית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צפה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תתרחש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התוצאה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הקטלנית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חפץ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בהתקיימותה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תוצאה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להתחקות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נבכי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נפשו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בגדרי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ההחלטה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להמית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מחשבתו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הסובייקטיבית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בראיות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ישירות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פותחה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בפסיקה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עובדתית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ראייתית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הניתנת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לסתירה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ביצע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מעשים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שהתוצאה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הטבעית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הקורבן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אזי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חפץ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בקטילת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הקורבן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296"/>
        </w:tabs>
        <w:bidi w:val="1"/>
        <w:spacing w:after="0" w:before="0" w:line="360" w:lineRule="auto"/>
        <w:ind w:left="567" w:right="0" w:hanging="720"/>
        <w:jc w:val="both"/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בעבירת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הרצח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מבטאת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התובנה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שגרם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למותו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המיועד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אופיו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ולפי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מהותו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לגרום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לתוצאה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קטלנית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נשא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בלבו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לתוצאה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הטבעית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מעשהו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686/80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(2) 253 (1982),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בפסקה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נלמדת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מניסיון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ומטרתה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ההחלטה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הסובייקטיבית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להמית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296"/>
        </w:tabs>
        <w:bidi w:val="1"/>
        <w:spacing w:after="0" w:before="0" w:line="360" w:lineRule="auto"/>
        <w:ind w:left="567" w:right="0" w:hanging="567"/>
        <w:jc w:val="both"/>
        <w:rPr>
          <w:rFonts w:ascii="Bodoni" w:cs="Bodoni" w:eastAsia="Bodoni" w:hAnsi="Bodon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חלוטה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ובידי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נתונה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לסתור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הבאת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ראיות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מתן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מתקבל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למעשיו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שיעורר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לכוונתו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מצליח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לעורר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שהייתה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הופכת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לראיה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ממשית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וחלוטה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בנוגע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לכוונת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296"/>
        </w:tabs>
        <w:bidi w:val="1"/>
        <w:spacing w:after="0" w:before="0" w:line="360" w:lineRule="auto"/>
        <w:ind w:left="84" w:right="0" w:hanging="720"/>
        <w:jc w:val="both"/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296"/>
        </w:tabs>
        <w:bidi w:val="1"/>
        <w:spacing w:after="0" w:before="0" w:line="360" w:lineRule="auto"/>
        <w:ind w:left="567" w:right="0" w:hanging="567"/>
        <w:jc w:val="both"/>
        <w:rPr>
          <w:rFonts w:ascii="Bodoni" w:cs="Bodoni" w:eastAsia="Bodoni" w:hAnsi="Bodon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בפסיקה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גובשו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שורה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מבחני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עזר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נועדו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לסייע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לביסוס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ממבחנים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צפיית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להתרחשותה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התוצאה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הקטלנית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והן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שאיפתו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תוצאה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תתממש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ולמעשה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האמצעי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ששימש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חילופי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שנאמרו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בגופו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הקורבן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התנהגותו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ולאחריו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7090/15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ליפה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(25.8.2016)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והאסמכתאות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המופיעות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Bodoni" w:cs="Bodoni" w:eastAsia="Bodoni" w:hAnsi="Bodon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חזקת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הכוונה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בענייננו</w:t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בבקבוקי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תבערה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הצתת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כנשק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וקטלני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פוטנציאל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נזק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9511/01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קובקוב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(2) 687, 693 (2002)).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לאפשר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להתפשט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היעד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שנבחר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מגורים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מאוחרת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מוביל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למסקנה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התכוון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בתיאורו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6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14-17),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צודקת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המיוחדת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מחוצה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בתחילה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10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28-37),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הרגיש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4). 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מחוזי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293/03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אלמגור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(04.08.2005),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בכוונה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ששפך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בנזין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ארובת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האוורור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מאוחרת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והדליקו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התקיימה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שילוח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מגורים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מרוהט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טומן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בחובו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הצפיות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לאפשרות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גרימת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מותם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המצויים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ערעורו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נדחה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9897/05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‏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אלמגור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(23.11.2006)).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לענייננו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ההצתה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כוונתו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הסתובב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הסתפק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בהשלכת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סגור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בהצתת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לוודא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כניסת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יוזכר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קומתי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וקטן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בבחירה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כוונתו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נלמדת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מהדברים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הודאותיו</w:t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כנקמה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הירצחו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רוזנפלד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נרצח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כחודש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/5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19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1-9). </w:t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כנקמה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שוחחו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בתצפית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ובהתאם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שנבחר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/5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19-20):</w:t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תגיד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דיברתם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בתצפיות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היתרון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רכוש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מרצדסים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וכאלה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תנסה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להיזכר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דיברנו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שפגיעה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מתאימה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לנקמה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אהמ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בתצפיות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דיברתם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שזכור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תנסה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להיזכר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מהתצפיות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אמרתם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שניכם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שזכור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בוודאות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הדיבור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שזכור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בתצפית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ההרוס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ההרוס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מסתכלים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ומדברים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שנקמה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הולמת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בפגיעה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בנדל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במכוניות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מתאימה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שמטרת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שוחחו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להרגיע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לשכנע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/5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30-31).</w:t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מתייחסות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שניהל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הנפש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האקטואלי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מתיישבים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היטב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האמצעי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כמתואר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58">
      <w:pPr>
        <w:bidi w:val="1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bidi w:val="1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קבילות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האמרות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המזכות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ומשקלן</w:t>
      </w:r>
    </w:p>
    <w:p w:rsidR="00000000" w:rsidDel="00000000" w:rsidP="00000000" w:rsidRDefault="00000000" w:rsidRPr="00000000" w14:paraId="0000025A">
      <w:pPr>
        <w:bidi w:val="1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חפץ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למחרת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שהוצת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פצועים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...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מבסוט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תכננתי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שיהרגו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מאויש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חשבתי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יקרה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שידעת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הרגשת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שהבית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מאויש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תבערה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מאויש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הנחקר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מצקצק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בלשונו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?...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שהבית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לבעור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יברחו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המטרה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העניין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לברוח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מהבית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אהה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שישנו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bidi w:val="1"/>
        <w:spacing w:line="360" w:lineRule="auto"/>
        <w:ind w:firstLine="567"/>
        <w:rPr>
          <w:rFonts w:ascii="David" w:cs="David" w:eastAsia="David" w:hAnsi="David"/>
          <w:smallCaps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mallCaps w:val="1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smallCaps w:val="1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smallCaps w:val="1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smallCaps w:val="1"/>
          <w:rtl w:val="1"/>
        </w:rPr>
        <w:t xml:space="preserve">יא</w:t>
      </w:r>
      <w:r w:rsidDel="00000000" w:rsidR="00000000" w:rsidRPr="00000000">
        <w:rPr>
          <w:rFonts w:ascii="David" w:cs="David" w:eastAsia="David" w:hAnsi="David"/>
          <w:smallCaps w:val="1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mallCaps w:val="1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smallCaps w:val="1"/>
          <w:rtl w:val="1"/>
        </w:rPr>
        <w:t xml:space="preserve">' 2-3)</w:t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המתועדת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תכננתי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ברמות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רמות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שאיפת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בקטנה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bidi w:val="1"/>
        <w:ind w:firstLine="567"/>
        <w:rPr>
          <w:rFonts w:ascii="David" w:cs="David" w:eastAsia="David" w:hAnsi="David"/>
          <w:smallCaps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mallCaps w:val="1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smallCaps w:val="1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smallCaps w:val="1"/>
          <w:rtl w:val="1"/>
        </w:rPr>
        <w:t xml:space="preserve">/5 </w:t>
      </w:r>
      <w:r w:rsidDel="00000000" w:rsidR="00000000" w:rsidRPr="00000000">
        <w:rPr>
          <w:rFonts w:ascii="David" w:cs="David" w:eastAsia="David" w:hAnsi="David"/>
          <w:smallCaps w:val="1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smallCaps w:val="1"/>
          <w:rtl w:val="1"/>
        </w:rPr>
        <w:t xml:space="preserve">' 29, </w:t>
      </w:r>
      <w:r w:rsidDel="00000000" w:rsidR="00000000" w:rsidRPr="00000000">
        <w:rPr>
          <w:rFonts w:ascii="David" w:cs="David" w:eastAsia="David" w:hAnsi="David"/>
          <w:smallCaps w:val="1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smallCaps w:val="1"/>
          <w:rtl w:val="1"/>
        </w:rPr>
        <w:t xml:space="preserve">' 27-32)</w:t>
      </w:r>
    </w:p>
    <w:p w:rsidR="00000000" w:rsidDel="00000000" w:rsidP="00000000" w:rsidRDefault="00000000" w:rsidRPr="00000000" w14:paraId="0000026F">
      <w:pPr>
        <w:bidi w:val="1"/>
        <w:spacing w:line="360" w:lineRule="auto"/>
        <w:ind w:left="567" w:firstLine="0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ובהמשך</w:t>
      </w:r>
      <w:r w:rsidDel="00000000" w:rsidR="00000000" w:rsidRPr="00000000">
        <w:rPr>
          <w:rFonts w:ascii="David" w:cs="David" w:eastAsia="David" w:hAnsi="David"/>
          <w:rtl w:val="1"/>
        </w:rPr>
        <w:t xml:space="preserve">:</w:t>
      </w:r>
    </w:p>
    <w:p w:rsidR="00000000" w:rsidDel="00000000" w:rsidP="00000000" w:rsidRDefault="00000000" w:rsidRPr="00000000" w14:paraId="00000270">
      <w:pPr>
        <w:bidi w:val="1"/>
        <w:spacing w:line="360" w:lineRule="auto"/>
        <w:ind w:left="567" w:firstLine="0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תכננתי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יודע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תכננתי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שיקרה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שקרה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במקרים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האחרים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להצית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ואנשים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ברחו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</w:p>
    <w:p w:rsidR="00000000" w:rsidDel="00000000" w:rsidP="00000000" w:rsidRDefault="00000000" w:rsidRPr="00000000" w14:paraId="00000271">
      <w:pPr>
        <w:bidi w:val="1"/>
        <w:spacing w:line="360" w:lineRule="auto"/>
        <w:ind w:left="567" w:firstLine="0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rtl w:val="1"/>
        </w:rPr>
        <w:t xml:space="preserve">/5 </w:t>
      </w:r>
      <w:r w:rsidDel="00000000" w:rsidR="00000000" w:rsidRPr="00000000">
        <w:rPr>
          <w:rFonts w:ascii="David" w:cs="David" w:eastAsia="David" w:hAnsi="David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rtl w:val="1"/>
        </w:rPr>
        <w:t xml:space="preserve">' 30,</w:t>
      </w:r>
      <w:r w:rsidDel="00000000" w:rsidR="00000000" w:rsidRPr="00000000">
        <w:rPr>
          <w:rFonts w:ascii="David" w:cs="David" w:eastAsia="David" w:hAnsi="David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rtl w:val="1"/>
        </w:rPr>
        <w:t xml:space="preserve">' 1-3).</w:t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אזכיר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נמנע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להגנתו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מעמדן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לזכותו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סויג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ורוכך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המאוחרת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ונקבע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המזכים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ולבחון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בשלמותה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מתקיימים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להרשעת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לביסוסה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והוצאת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הקטעים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תפגום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בתמונה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הכללית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המתקבלת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115/82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מועדי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(1) 197, 235 (1984);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1828/14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דהאן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(27.6.2019)).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ההתחשבות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בהודעותיו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לזכותו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להתחשב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בשלמותה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לנגד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עיניו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הודעותיו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ומשכך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ייתכן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שייוחס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שעומדות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לזכותו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מועט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אפסי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יבדוק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שיקול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ובהתחשב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2592/15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פלוני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(6.7.2016);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3308/17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וחידי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(15.1.2020).</w:t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משבחר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לחקור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ולברר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הסתירה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הברורות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לשיחתו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בפגיעה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המזכות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המזכות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להרתיע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להתפשטות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לאיתור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פתוחים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זריקת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דרכם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מלמדים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ומתיישבים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היטב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הירצחו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מכאן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לאמירותיו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המזכות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הנפשי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לעורר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בהתקיימות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הנפשי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המפורט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מתבקשת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המסקנה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כוונה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להמית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בחר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להשליך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תבערה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מגורים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במטרה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להציתם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הבין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במידת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הסבירות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הנדרשת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שהינם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מאוכלסים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העת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ועשה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בשעת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לילה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מאוחרת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ישנים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יכולתם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להגיב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פחותה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בלשון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המעטה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גרימת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מותם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בנסיבות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תוצאה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הנובעת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טבעי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ובהסתברות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גבוהה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ממעשיו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לעורר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כוונתו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לחבריי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הוכח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כוונה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להמית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השלכת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לביתם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הכנה</w:t>
      </w:r>
    </w:p>
    <w:p w:rsidR="00000000" w:rsidDel="00000000" w:rsidP="00000000" w:rsidRDefault="00000000" w:rsidRPr="00000000" w14:paraId="00000282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ההכנה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פיזי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טהור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הממוקד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בצעדים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שנקט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ההמתה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האמצעים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ישמשו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2333/17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פלוני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(02.12.2018),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13).  </w:t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היערכות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במישור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בהצטיידות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ההכנות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מפגשים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ותצפיות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27-36;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/5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12-14);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בנזין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ריקן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הצטיידות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בבקבוקי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הזכוכית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כפפות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/5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16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38-39).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החולצות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שלבש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איתור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והדלקתם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היעדר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קנטור</w:t>
      </w:r>
    </w:p>
    <w:p w:rsidR="00000000" w:rsidDel="00000000" w:rsidP="00000000" w:rsidRDefault="00000000" w:rsidRPr="00000000" w14:paraId="00000288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היעדר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הקנטור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סובייקטיבי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ואובייקטיבי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הסובייקטיבי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בודק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ההתנהגות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המקנטרת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הובילה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לאבדן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שליטה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bookmarkStart w:colFirst="0" w:colLast="0" w:name="3rdcrjn" w:id="11"/>
      <w:bookmarkEnd w:id="11"/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הסובייקטיבי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התגרות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בעוצמה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המערער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הקטילה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פתאומי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וספונטני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לחשוב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1426/12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אחמד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מוזפר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(16.01.2014),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7).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האובייקטיבי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בנעליו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לאבד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שליטתו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הקטלני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1474/14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פלוני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(15.12.2015),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80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פלוני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)).</w:t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ממושך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ספונטני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נפגעי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נבחרו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פלסטינים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המתגוררים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נרצח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להצביע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קנטור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bookmarkStart w:colFirst="0" w:colLast="0" w:name="_26in1rg" w:id="12"/>
      <w:bookmarkEnd w:id="12"/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המפורט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אציע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לחבריי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התגבשו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שלושת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היסודות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הנדרשים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הוכחת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הנפשי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הנדרש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להרשעה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בעבירת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הרצח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137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העונשין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הרפורמה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בעבירות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ההמתה</w:t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10.7.2019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לתוקף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העונשין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רפורמה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ההמתה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התיקון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התיקון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המחוקק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מדרג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ההמתה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לתיקון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המיוחסות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לכניסתו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התיקון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לתוקף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להוראת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המופיעה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לתיקון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להוראת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העונשין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נדרשים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בתיקון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ולהחיל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התקיימו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והיסוד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הנפשי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לתיקון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העונש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כעונש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התיקון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הקבועה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300(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בנוסחו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שלצידה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כעונש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כעונש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מתקיימות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המחמירות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המכניסות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לגדרי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מחמירות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הקבועה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301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בנוסחו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עונש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כעונש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הנסיבות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המחמירות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המתקיימות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בענייננו</w:t>
      </w:r>
    </w:p>
    <w:p w:rsidR="00000000" w:rsidDel="00000000" w:rsidP="00000000" w:rsidRDefault="00000000" w:rsidRPr="00000000" w14:paraId="00000299">
      <w:pPr>
        <w:bidi w:val="1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301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)(1)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הגורם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בכוונה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באדישות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למותו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באחת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מהנסיבות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המפורטות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מאסר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ועונש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(1)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שקילה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וגיבוש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להמית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29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שותף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להמית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ספונטני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בלהט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הרגע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מתוכנן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היטב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שנקבעה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מראש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תצפיות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ששוחחו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ובחנו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2-3);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מבוטלת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בהגיעו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מאוכלסים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מתקיימת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נסיבה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מחמירה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301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)(4):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גזענות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עוינות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ציבור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144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144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מגדיר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המונח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גזענות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רדיפה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ביזוי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גילוי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איבה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עוינות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אלימות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גרימת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מדנים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ציבור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האוכלוסייה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השתייכות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לגזע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למוצא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לאומי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פלסטיני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כנקמה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הירצחו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רוזנפלד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הסמוכה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כחודש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היכרות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מוקדמת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ומיקום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בתוככי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הפלסטיני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מרצונו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בנקמת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משהנסיבות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המחמירות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הקבועות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301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)(1)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-(4)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מתקיימות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הרלוונטית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מחמירות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שלצידה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עונש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מחמירות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מתקיימות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משהנסיבות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הקבועות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301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)(1)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-(4)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מתקיימות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המובהק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מוצאת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מתקיימות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נסיבות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מחמירות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נוספות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לשנות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התוצאה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בהתקיימות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נסיבה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מחמירה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301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bookmarkStart w:colFirst="0" w:colLast="0" w:name="_lnxbz9" w:id="13"/>
      <w:bookmarkEnd w:id="13"/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האמור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137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התיקון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העונש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בצד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מורשע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עונש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מאסר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המפורט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אציע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לחבריי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להרשיע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בשלוש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רצח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300(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)(2)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בנוסחו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לתיקון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bidi w:val="1"/>
        <w:spacing w:line="360" w:lineRule="auto"/>
        <w:rPr>
          <w:rFonts w:ascii="David" w:cs="David" w:eastAsia="David" w:hAnsi="David"/>
          <w:b w:val="1"/>
          <w:sz w:val="28"/>
          <w:szCs w:val="28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ח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העבירות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הנוספות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המיוחסות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ניסיון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רצח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הצתה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וקשירת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קשר</w:t>
      </w:r>
    </w:p>
    <w:p w:rsidR="00000000" w:rsidDel="00000000" w:rsidP="00000000" w:rsidRDefault="00000000" w:rsidRPr="00000000" w14:paraId="000002AD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ניסיון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רצח</w:t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להרשיע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זריקת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מאמון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דוואבשה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שנגרמה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דוואבשה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המנוחים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הניסיונות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").</w:t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שעבירת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עצמאית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העונשין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העונשין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מגדיר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מנסה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במטרה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והעבירה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הושלמה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ליסוד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הנפשי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פלוני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הנפשי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הנפשי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המושלמת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הפיזיות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הנפשי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זריקת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שעניינה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זריקת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הושלמה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המושלמת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מאמון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הרלוונטי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הנוספת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וחייו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ניצלו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התערבותם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צוותי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הרפואה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לחבריי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להרשיע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ניסיון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305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bidi w:val="1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tabs>
          <w:tab w:val="left" w:pos="7597"/>
        </w:tabs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הצתה</w:t>
      </w:r>
    </w:p>
    <w:p w:rsidR="00000000" w:rsidDel="00000000" w:rsidP="00000000" w:rsidRDefault="00000000" w:rsidRPr="00000000" w14:paraId="000002B8">
      <w:pPr>
        <w:tabs>
          <w:tab w:val="left" w:pos="7597"/>
        </w:tabs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שילח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פעמיים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מתקיימים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שיוחסה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5nkun2" w:id="14"/>
      <w:bookmarkEnd w:id="14"/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לחבריי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להרשיע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448(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bookmarkStart w:colFirst="0" w:colLast="0" w:name="_1ksv4uv" w:id="15"/>
      <w:bookmarkEnd w:id="15"/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קשירת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פשע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ממניע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גזעני</w:t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2681/15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(14.02.2016)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55)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פורטו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העובדתי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בעבירת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קשירת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כריתת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בהסכמה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שהתגבשה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פלילית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הנפשי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קשירת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מתגבש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ההסכמה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לפעול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יחדיו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הגשמת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המטרה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הפלילית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כוונתו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המטרה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הפסולה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שלשמה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44sinio" w:id="16"/>
      <w:bookmarkEnd w:id="16"/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ההסכמה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עקרונית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משתכללת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ברגע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ההסכמה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בטרם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כלשהי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קידום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11068/08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סנקר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(12.7.2010),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סנקר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").</w:t>
      </w:r>
    </w:p>
    <w:p w:rsidR="00000000" w:rsidDel="00000000" w:rsidP="00000000" w:rsidRDefault="00000000" w:rsidRPr="00000000" w14:paraId="000002C0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10946/03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עיסא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(23.6.2005)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נדונה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לתפוס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ההתארגנות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המוקדמת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אמותיו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ומתגבשת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להפללת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בהתארגנות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העבריינית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הצדקות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שעיקרן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הסיכון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המיוחד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שנוצר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עקב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ההתקשרות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משותף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החמרת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העצמת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המוטיבציה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והמחויבות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הקושרים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וההקלה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שיתוף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הפעולה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);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הסיכון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העצמאי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הנובע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מקיומן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התקשרויות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עברייניות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מכאן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שעבירת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נגזרת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המושלמת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עצמאית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להרשיע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בקשירת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המושלמת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יוטלו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עונשים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סנקר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21). </w:t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מפורטת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2.</w:t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נפגש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במאחז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תצפתו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ושוחחו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תצפת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ומטעים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נפגשו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התצפית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סיכמו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ובמידת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סיכמו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30.12.2015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-31.12.2015.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סיכמו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להיפגש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שבמאחז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האמצעים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במחלוקת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/161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בציוד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בהגיעו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החליט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הוקראו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מהודאה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21-24):</w:t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"21.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הקראתי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לנדון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מעדותו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2)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מתאריך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16.12.2015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23:15.</w:t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הוקראה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לנדון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2)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בביצוע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פשעים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גזעניים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ואלימים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ובכללם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שריפת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הוקרא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לנדון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2)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לשרוף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ייתכן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מגדל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הוקראה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לנדון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2)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הפגישות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השריפה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שהקריא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נוגע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התצפיות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התקיימה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הוקרא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מפורטים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שנכתבו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הוקראו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1351).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המפגש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המתוכנן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1278).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jxsxqh" w:id="17"/>
      <w:bookmarkEnd w:id="17"/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הנגדית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הוטחה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בברונו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קונקרטית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שהוקראו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במזכר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נודעו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והוקראו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מגרסתו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המפגש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/6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3-4).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מתיאורו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המופיע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שהוקראה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מפחיתה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ממשקלה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לתוספת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ראייתית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בסדרת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קשורות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בקיומה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תוספת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ראייתית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מהעבירות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שרווח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בהודייתו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בביצוען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שימצא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בנפרד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בקיומו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בעבירה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לתמוך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השתנתה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והכלל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הנוהג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דוגמת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דרישת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בסדרת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הקשורות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ברעותה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היותן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לטיבו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ובהתחשב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בנסיבות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העניין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קדמי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170 (2009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3370/09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אלעמור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(26.12.2011)).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הגרסאות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מנגד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הימנעות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לפיכך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אציע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לחבריי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להרשיע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בעבירת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קשירת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פשע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ממניע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גזעני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499(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)(1),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בנסיבות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144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bidi w:val="1"/>
        <w:spacing w:line="360" w:lineRule="auto"/>
        <w:rPr>
          <w:rFonts w:ascii="David" w:cs="David" w:eastAsia="David" w:hAnsi="David"/>
          <w:b w:val="1"/>
          <w:sz w:val="28"/>
          <w:szCs w:val="28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טרור</w:t>
      </w:r>
    </w:p>
    <w:p w:rsidR="00000000" w:rsidDel="00000000" w:rsidP="00000000" w:rsidRDefault="00000000" w:rsidRPr="00000000" w14:paraId="000002DD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.1.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תמצית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טענות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הצדדים</w:t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לטענת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המומחה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המכונה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ועתרה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ומבוסס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המסמכים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הגלויים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שצורפו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המפורטים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משויכים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מבססים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ופועלה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התארגנות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קיצונית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ואלימה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בתקופה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הרלוונטית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התארגנות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לסיכול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החשודים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כפעילי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בהוצאה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בתמצית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ורצונו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לעורר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מוכיחים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להוציא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במסמכים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שצורפו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הצהיר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לשפוט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מתיישבת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מסמכי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שהוגדר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מראשי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ההתארגנות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אטינגר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אטינגר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היכרות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קרובים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המדובבים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 w14:paraId="000002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המפורטת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המופיעה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הזדון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שהשאיר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מצביעות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השתתפותו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בפעולות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וידיעתו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המשויכים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המאבק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2016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המאבק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בטרור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בבחינת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לפקודה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המאבק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לטענת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לבסס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ממצאים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עובדתיים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מתבססת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מודיעיני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מהימנות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ולהתמודד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המומחה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נחשף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הרלוונטי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המוקלטת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להשקפת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מלמדים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כלשהו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הזדהה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מפעילות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מאורגנת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הדגישה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המאבק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נדרשת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לקידום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הובאה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שהמעשים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המיוחסים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מאורגנת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כלשהי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מלבד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אטינגר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הקושרת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הדגישה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ההבדלים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הרשעתו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התבססה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המדובבים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מפורטות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מבנהו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ופעילותו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הראייתית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שיעור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F0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.2.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תמצית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ההכרעה</w:t>
      </w:r>
    </w:p>
    <w:p w:rsidR="00000000" w:rsidDel="00000000" w:rsidP="00000000" w:rsidRDefault="00000000" w:rsidRPr="00000000" w14:paraId="000002F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בפרוטוקול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ובמוצגים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ובחינת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לחבריי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המיוחסת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רכיבים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מכוחה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הרשעתו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המודיעינית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ההסתמכות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ומסקנותיה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מוגבלת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לחלקיה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המבוססים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חסוי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נחשפו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העומדת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במסמכים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הגלויים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שצורפו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בצירוף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המפורטים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מצאתי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הנדרשת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פלילי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משתייך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ומעשיו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בקשירת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ובשלושה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המדובבים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מאורגנת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ומתמשכת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בפעולות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אקראי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התייחסותו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המפורטים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שהוצגו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נסיבתית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שותף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לאידיאולוגיה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בקיומה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המחויבות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וההזדהות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תפיסות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גזעניות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מחזיק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מאורגנת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ומבלי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לערעור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ולשינוי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שצוינה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המדובבים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באירועים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גזעני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אטינגר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התנהלותו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3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להשוואה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אבהיר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שהורשע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בקשירת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הצביעו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בקצרה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והמפורטים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תרגיל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המדובבים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סרטון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ההסברה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עצורי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האידיאולוגית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במסמכי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כשבועיים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ומביע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להפיכה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שהורשע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לקשירת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גזעני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ותואמות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שבפנינו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חריג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בחומרתו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ובתוצאותיו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בהכרח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מחויבותו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והזדהותו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.3.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המסגרת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הנורמטיבית</w:t>
      </w:r>
    </w:p>
    <w:p w:rsidR="00000000" w:rsidDel="00000000" w:rsidP="00000000" w:rsidRDefault="00000000" w:rsidRPr="00000000" w14:paraId="000003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הוגש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בינואר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2016.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לפקודת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מיוחסת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בתוקף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3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23.6.2016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פורסם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ברשומות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המאבק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תוקף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הביטול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1.11.2016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התחילה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3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לפקודה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שנעברה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התחילה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101(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)(1)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המאבק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3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העונשין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עשיית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החיקוק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נדרשת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המאבק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להחילו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3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3793/18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פלוני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(3.5.2020),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המאבק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לפקודה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העונש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34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ההגדרות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המאבק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ממוקדות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37-38).</w:t>
      </w:r>
    </w:p>
    <w:p w:rsidR="00000000" w:rsidDel="00000000" w:rsidP="00000000" w:rsidRDefault="00000000" w:rsidRPr="00000000" w14:paraId="000003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המיוחסת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המאבק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לפקודת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3793/18.</w:t>
      </w:r>
    </w:p>
    <w:p w:rsidR="00000000" w:rsidDel="00000000" w:rsidP="00000000" w:rsidRDefault="00000000" w:rsidRPr="00000000" w14:paraId="000003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הפקודה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מגדירה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טרוריסטי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המשתמש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בפעולותיו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במעשי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אלימות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העלולים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לגרום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למותו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לחבלתו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באיומים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במעשי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אלימות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מגדירה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מיהו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טרוריסטי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הנמנה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וכולל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המשתתף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בפעולותיו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המפרסם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תעמולה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טרוריסטי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פעולותיו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מטרותיו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אוסף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כספים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חפצים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טרוריסטי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פעולותיו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3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לפקודה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בפקודתו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מחבריו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אלימות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העלולים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לגרום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למותו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לחבלתו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לרכיבי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ההגדרה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המצוינים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בפקודה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רכיבים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המדגישים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מניע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אידאולוגי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כשהמטרה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השגת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מדיניות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כוונת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להשיג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הטלת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ופחד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11/58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מנקס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היועמ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(17.12.1958); 49/58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חרותי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היועמ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(19.10.1958);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מחוזי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203/84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ליבני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(22.7.1985)). </w:t>
      </w:r>
    </w:p>
    <w:p w:rsidR="00000000" w:rsidDel="00000000" w:rsidP="00000000" w:rsidRDefault="00000000" w:rsidRPr="00000000" w14:paraId="000003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פורמלי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שתתקיים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היררכיה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המאבק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בטרור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הטרור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בתבנית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מאורגנת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ומתמשכת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שמבצע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במטרה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שיבוצעו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ובכלל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שעוסק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באימונים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בהדרכה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עסקה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בנשק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שהוכרז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המחוקק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מאורגנת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ומתמשכת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": </w:t>
      </w:r>
    </w:p>
    <w:p w:rsidR="00000000" w:rsidDel="00000000" w:rsidP="00000000" w:rsidRDefault="00000000" w:rsidRPr="00000000" w14:paraId="000003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תבנית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אקראית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ושנועדה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להתקיים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מדרג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תפקידים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מוגדרים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3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נפקא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למטרות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מלכתחילה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לקריאה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הדרישה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מאורגנת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ומתמשכת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לקריאות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והשלישית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להדגשת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בצוותא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פליליות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ההגדרה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מאפיינים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מהותיים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כלשהו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גמיש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היררכיה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המשכיות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בפעילות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פיקוד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מבצעים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מגדיר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3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הנמנה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ובכלל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</w:p>
    <w:p w:rsidR="00000000" w:rsidDel="00000000" w:rsidP="00000000" w:rsidRDefault="00000000" w:rsidRPr="00000000" w14:paraId="000003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(1)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שנוטל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בפעילות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כנציג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כשלוח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 w14:paraId="000003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(2)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שהביע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הסכמתו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להצטרף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לארגון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להניח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נציג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מטעמו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 w14:paraId="000003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לעניין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800" w:right="0" w:hanging="360"/>
        <w:jc w:val="both"/>
        <w:rPr>
          <w:rFonts w:ascii="David" w:cs="David" w:eastAsia="David" w:hAnsi="Davi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שהציג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...".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המחוקק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המהווה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איום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בעשיית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שמתקיימים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לגביהם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080" w:right="0" w:hanging="360"/>
        <w:jc w:val="left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אידיאולוגי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 w14:paraId="000003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080" w:right="0" w:hanging="360"/>
        <w:jc w:val="left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במטרה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לעורר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בציבור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במטרה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לאלץ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שלטונית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להימנע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</w:p>
    <w:p w:rsidR="00000000" w:rsidDel="00000000" w:rsidP="00000000" w:rsidRDefault="00000000" w:rsidRPr="00000000" w14:paraId="000003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080" w:right="0" w:hanging="360"/>
        <w:jc w:val="left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שנעשה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שאיימו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בעשייתו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סיכון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3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40" w:right="0" w:hanging="360"/>
        <w:jc w:val="left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חמורה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בגופו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בחירותו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3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40" w:right="0" w:hanging="360"/>
        <w:jc w:val="left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חמורה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בבטיחות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הציבור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בבריאותו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3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40" w:right="0" w:hanging="360"/>
        <w:jc w:val="left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חמורה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ברכוש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שבנסיבות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שתגרום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חמורה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בפסקאות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ושנעשתה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במטרה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לגרום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</w:p>
    <w:p w:rsidR="00000000" w:rsidDel="00000000" w:rsidP="00000000" w:rsidRDefault="00000000" w:rsidRPr="00000000" w14:paraId="000003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40" w:right="0" w:hanging="360"/>
        <w:jc w:val="left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חמורה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בקודשי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...;</w:t>
      </w:r>
    </w:p>
    <w:p w:rsidR="00000000" w:rsidDel="00000000" w:rsidP="00000000" w:rsidRDefault="00000000" w:rsidRPr="00000000" w14:paraId="000003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40" w:right="0" w:hanging="360"/>
        <w:jc w:val="left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חמורה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בתשתיות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במערכות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חיוניים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..."</w:t>
      </w:r>
    </w:p>
    <w:p w:rsidR="00000000" w:rsidDel="00000000" w:rsidP="00000000" w:rsidRDefault="00000000" w:rsidRPr="00000000" w14:paraId="000003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נפקא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המצוינים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-(2)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הבלעדיים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העיקריים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.4.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פירוט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ומשקלן</w:t>
      </w:r>
    </w:p>
    <w:p w:rsidR="00000000" w:rsidDel="00000000" w:rsidP="00000000" w:rsidRDefault="00000000" w:rsidRPr="00000000" w14:paraId="00000331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/60)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ועדותו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המומחה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אמיתי</w:t>
      </w:r>
    </w:p>
    <w:p w:rsidR="00000000" w:rsidDel="00000000" w:rsidP="00000000" w:rsidRDefault="00000000" w:rsidRPr="00000000" w14:paraId="00000333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בנוגע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הקורא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בתמצית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3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מפרטת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2011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זיהה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התלכדות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צעירים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מאחזים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בגבעות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בנימין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הגבעונים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קטינים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שנפלטו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ממסגרות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חינוכיות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ובחרו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להתגורר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במבנים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ארעיים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גבעונים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כשהרעיון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המרכזי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להתסיס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אוכלוסיות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ולאלץ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להשקיע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משאבים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להתמודד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3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התקופה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2012-2014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מיוחסים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לחוליות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הגבעונים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- 20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הצתת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וריסוס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2013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זוהתה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התארגנות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לגיבוש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ופיתוח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קיצונית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ואלימה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שמטרתה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ערעור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יציבות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השלטון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במדינת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הפעלת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ואלימות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ושפיכות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להפיכה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שלטונית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מלוכני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תיאוקרטי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תשתית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"). </w:t>
      </w:r>
    </w:p>
    <w:p w:rsidR="00000000" w:rsidDel="00000000" w:rsidP="00000000" w:rsidRDefault="00000000" w:rsidRPr="00000000" w14:paraId="000003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רוכזו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במסמכים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למרד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למרד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שצורפו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נספחים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המסמכים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מיוחסת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למאיר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אטינגר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הזדון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נספח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שצורף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בבחינת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ההנחיות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להתארגנות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מיוחסת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אורבך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רעיונות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לפרישת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ממודרים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ברחבי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שיפעלו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3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הגבעות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הצעירים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סומנו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ההתארגנות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בתקופה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2014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לדצמבר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2015,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המיוחסות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התארגנות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בהחלטתנו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159-160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להחלטה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בהסתמך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ההנחה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הנאשמים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משתייכים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לתשתית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תשתית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פעילותה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עלול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ברכוש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ובנפש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ומעוגנת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בחומר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שהוצג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בידיעת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לחקירת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להחלטתנו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 </w:t>
      </w:r>
    </w:p>
    <w:p w:rsidR="00000000" w:rsidDel="00000000" w:rsidP="00000000" w:rsidRDefault="00000000" w:rsidRPr="00000000" w14:paraId="000003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שהובהר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בהכרעת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קביעותינו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התייחסו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שבעטיה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הוחלט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לנקוט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מיוחדים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חומרת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הנשקף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מפעילי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הגזרה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החלטתנו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התייחסה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הבוחן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התנהלות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לפיכך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להסיק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מהחלטתנו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והשתייכות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לנטל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המוטל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מודיעינית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תפקידו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המומחה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מעמדו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בקהילת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המודיעין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השכלתו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ונושאי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התמחותו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ניסיונו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במחקר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מודיעיני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וגורמים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המובאים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בחשבון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כמומחה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להסתמכות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כשלעצמה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פוסלת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תוקפה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קבילותה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להשפיע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11493/03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מחמוד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מחאג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(30.12.2004)).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בבחינת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להתחשב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נסמכות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ומסקנותיו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המומחה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להפריך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המבוססים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הוצגו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1195/18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פלוני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(12.4.2018);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3798/18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פלוני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(3.5.2020),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 </w:t>
      </w:r>
    </w:p>
    <w:p w:rsidR="00000000" w:rsidDel="00000000" w:rsidP="00000000" w:rsidRDefault="00000000" w:rsidRPr="00000000" w14:paraId="000003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שקבענו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המומחה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ארוכות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הזוטא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למועד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כתיבת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הביטחון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-15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בתחום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הרלוונטי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ההתרשמות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מנוסה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בתחומו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לנושאי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וענייניות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נסמכות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מסקנות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האחד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מודיעיניות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נחשפו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שנקבע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מסקנות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המומחה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המבוססות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ידיעות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משקלן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מוגבל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הזדון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אורבך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למרד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למרד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המומחה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נכתבו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אטינגר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למסמכים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בנוסח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מעודן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מתפרסם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בבלוג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מאפייניהם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הכוללות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אידאולוגיים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שהושארו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אטינגר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והפעילות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1330).</w:t>
      </w:r>
    </w:p>
    <w:p w:rsidR="00000000" w:rsidDel="00000000" w:rsidP="00000000" w:rsidRDefault="00000000" w:rsidRPr="00000000" w14:paraId="000003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מסקנותיו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המומחה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הניתנות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לביסוס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הקבילות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המתוארות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תוצרי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תרגיל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המדובבים</w:t>
      </w:r>
    </w:p>
    <w:p w:rsidR="00000000" w:rsidDel="00000000" w:rsidP="00000000" w:rsidRDefault="00000000" w:rsidRPr="00000000" w14:paraId="0000034D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תרגיל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המדובבים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יומיים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מעצרו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כניסתו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לשותפיו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לכריתת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הוברר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והמדובבים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מאשימים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חושדים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לשוטרים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פליליים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דורשים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שיוכלו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בטוחים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ולתת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בתחילה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מתרצה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למדובבים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זריקת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אבנים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נכח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ובמהלכו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צפה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הורג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כבשה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השייכת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לערבים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/7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 47).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תקיפה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רועה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צאן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ערבי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נכח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/7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 65).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שיושבים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שמותיהם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אטינגר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אורבך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ראובני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היטב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/7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58-60).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אטינגר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גדלנו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/11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17-21).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אטינגר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מנהלי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בהפרדה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וחוששים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יצליח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לארגן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/11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18-19). </w:t>
      </w:r>
    </w:p>
    <w:p w:rsidR="00000000" w:rsidDel="00000000" w:rsidP="00000000" w:rsidRDefault="00000000" w:rsidRPr="00000000" w14:paraId="000003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מהחבר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לתקופה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הארוכה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שנשפטו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לעונשי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הצתת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שריפת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כנסיה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במובן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ריצה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עונשי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ארוכים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/11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44-45).</w:t>
      </w:r>
    </w:p>
    <w:p w:rsidR="00000000" w:rsidDel="00000000" w:rsidP="00000000" w:rsidRDefault="00000000" w:rsidRPr="00000000" w14:paraId="000003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נשמע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למדובבים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מארץ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שכתוב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ימשיכו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ליהודים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בארצם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מזכיר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כהנא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אטינגר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הנכד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22-25).</w:t>
      </w:r>
    </w:p>
    <w:p w:rsidR="00000000" w:rsidDel="00000000" w:rsidP="00000000" w:rsidRDefault="00000000" w:rsidRPr="00000000" w14:paraId="000003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תרגיל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המדובבים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אמרות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והתנהלותו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ובמשפט</w:t>
      </w:r>
    </w:p>
    <w:p w:rsidR="00000000" w:rsidDel="00000000" w:rsidP="00000000" w:rsidRDefault="00000000" w:rsidRPr="00000000" w14:paraId="0000035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ולהתנהלותו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תואמים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מסמכי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3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בתוככי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להטיל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תושבי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29),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מצביעים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כמעשי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ומלמדים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להוציא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 w14:paraId="000003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הצהרתו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לשפוט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התנהלות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המתיישבת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מסמכי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הזדון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למרד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1",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הדימיון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שהותוותה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הזדון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לציוד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הדרוש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בקבוק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תבערה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6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חולצה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שרווליה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בעורף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10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.5.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בחינת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התקיימות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יסודות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העבירה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35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רכיבים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מצטברים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האחד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החיקוקים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בהוכחת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שפעיליו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בהכרעת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המתואר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ומעשיו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2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תרגיל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המדובבים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שנערך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ומטרתו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הפעילים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מעמדו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ההדרגתי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להצטרף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הכוללות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מוקדם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קפדני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ואמצעי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ופעילותם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3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בסרטון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עצורי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סרטון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ודוברים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מסבירים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ביניהן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רוססו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האידיאולוגיה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המודיעינית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שהוגשה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והתיישבה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נדרשה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התבססות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3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מכוחה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הרשעתו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המודיעינית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ההסתמכות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ומסקנותיה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מוגבלת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לחלקיה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המבוססים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מודיעיניות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3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העומדת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במסמכים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הגלויים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שצורפו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מסמכי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המרכזים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האידיאולוגי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הזדון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המהווה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הנחיות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בצירוף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המפורטים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המוזכרים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בקשירת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ובשלושה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המדובבים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המפורטים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בשילוב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בשרשרת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מאורגנת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ומתמשכת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בפעולות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אקראי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המודיעינית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כחיזוק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ומעשיו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הקבילים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המפורטים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מאורגנת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מתיישבים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האידיאולוגיה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המופיעה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במסמכי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המעורר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בהשראת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המסמכים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בדמיון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מאורגנת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בפיגועים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בהשראת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רעיונות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הנפוצים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צעירי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הגבעות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מופיעים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במסמכים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בפעילות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מאורגנת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ומתמשכת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שבוצעה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יוזכר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בתרגיל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המדובבים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הצתות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באורח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אגבי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נחקרו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לעומק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/3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10),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מנויים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לשייכם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מאורגנת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אניח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כנדרש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הקבילות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שהוצגו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חשד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עוצמה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מבוטלת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בצבר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ברמה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הנדרשת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שנקבע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גזעני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פלסטיני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כנקמה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בתוככי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לעורר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וליצור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הרתעה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התושבים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בהגדרה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בסיווג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ויבוצע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הזדהות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החמור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נסיבתית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המחויבות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וההזדהות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ומטרותיו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המדובבים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מלמדים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שמוחזקים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כפעילי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אטינגר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המתואר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המומחה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כראש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אטינגר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מנהלי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נוכחותו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שנשפטו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הצתת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מעורבות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בשריפת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כנסיה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הקרובה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אטינגר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ידיעתו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והעובדה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שמכנה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המבצעים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מעוררת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בפעילות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מאורגנת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קבוצת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שהוצגו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שוללות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מגוריהם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המשותפים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בגבעות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למצער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שבוצעה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מעשיו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שהתבטאו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תפיסות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גזעניות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מחזיק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מאורגנת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ומבלי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מתחדדים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המוקלטת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שותף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לרעיון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המסדר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3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שכותרתו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למרד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המקדש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בהינתן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שהשלטון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לחשוב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מפילים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השלטון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שמפריע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לבנות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המקדש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שמונע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מאיתנו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הגאולה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האמיתית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והשלמה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מכוונות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להפלתו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לכונן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הגשמת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חילופי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השלטון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כמטרה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המרכזית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המרכזי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בנקודות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תורפה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שחברי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התשתית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מגדירים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הפיכה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שלטונית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ולהקים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בעצם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מלוכני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תאוקרטי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906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2-4).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מתחבר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לאידאולוגיה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ונראה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שותף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לשיח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בהיבט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</w:p>
    <w:p w:rsidR="00000000" w:rsidDel="00000000" w:rsidP="00000000" w:rsidRDefault="00000000" w:rsidRPr="00000000" w14:paraId="000003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בערבים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בגויים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הקמת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וכולי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רואה</w:t>
      </w:r>
    </w:p>
    <w:p w:rsidR="00000000" w:rsidDel="00000000" w:rsidP="00000000" w:rsidRDefault="00000000" w:rsidRPr="00000000" w14:paraId="000003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מסתדרים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3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3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החזון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עמירם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שיקרה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</w:p>
    <w:p w:rsidR="00000000" w:rsidDel="00000000" w:rsidP="00000000" w:rsidRDefault="00000000" w:rsidRPr="00000000" w14:paraId="000003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3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חזון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מציאותי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להקים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/5,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24,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15-27).</w:t>
      </w:r>
    </w:p>
    <w:p w:rsidR="00000000" w:rsidDel="00000000" w:rsidP="00000000" w:rsidRDefault="00000000" w:rsidRPr="00000000" w14:paraId="000003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מאיזה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כדאי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</w:p>
    <w:p w:rsidR="00000000" w:rsidDel="00000000" w:rsidP="00000000" w:rsidRDefault="00000000" w:rsidRPr="00000000" w14:paraId="000003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3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מושג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סתם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דיבורים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חברה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3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דיבורים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3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דיבורים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חוברות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מיני</w:t>
      </w:r>
    </w:p>
    <w:p w:rsidR="00000000" w:rsidDel="00000000" w:rsidP="00000000" w:rsidRDefault="00000000" w:rsidRPr="00000000" w14:paraId="000003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3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הגישה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יומרני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.: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יומרני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3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</w:p>
    <w:p w:rsidR="00000000" w:rsidDel="00000000" w:rsidP="00000000" w:rsidRDefault="00000000" w:rsidRPr="00000000" w14:paraId="000003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3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להפוך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</w:t>
      </w:r>
    </w:p>
    <w:p w:rsidR="00000000" w:rsidDel="00000000" w:rsidP="00000000" w:rsidRDefault="00000000" w:rsidRPr="00000000" w14:paraId="000003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ויכוח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שאומרים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הגיוני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שאומרים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הגיוני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3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.: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שמעתי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דיבורים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שמדברים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מידי</w:t>
      </w:r>
    </w:p>
    <w:p w:rsidR="00000000" w:rsidDel="00000000" w:rsidP="00000000" w:rsidRDefault="00000000" w:rsidRPr="00000000" w14:paraId="000003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/5,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25-26).</w:t>
      </w:r>
    </w:p>
    <w:p w:rsidR="00000000" w:rsidDel="00000000" w:rsidP="00000000" w:rsidRDefault="00000000" w:rsidRPr="00000000" w14:paraId="00000399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האידיאולוגיה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מכוחה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מחזיק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באידיאולוגיה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המשויכת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מתעמק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המוקלטות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שפעלו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החשד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יוזכר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מאפייניו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והאידיאולוגיה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העומדת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בבסיסו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3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למדובבים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בגירוש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מהארץ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ולכפירה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נוהג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רעיונות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מהרעיונות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המופיעים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במסמכים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הגלויים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שצורפו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מסמכי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למרבה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הצער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נפוצות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מניעיו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הגזעניים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החזקתו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המפורטות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הזדון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בהכרח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חשיפתו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יוזכר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בחברות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לימדו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בקיאותו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בדרכי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3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אבהיר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כשלעצמה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בהכרח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המשותף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בנקמה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מחזיק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במניעים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אידיאולוגיים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בנקמה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ולממש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משרשרת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המפורט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שהוצגו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הנטען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ההכרעה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שקלתי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הימנעותו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ההימנעות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מלהעיד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משליכה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הקיימות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הראייתי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לאישום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A5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ט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.6.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ההבחנה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לנאשם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2</w:t>
      </w:r>
    </w:p>
    <w:p w:rsidR="00000000" w:rsidDel="00000000" w:rsidP="00000000" w:rsidRDefault="00000000" w:rsidRPr="00000000" w14:paraId="000003A7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בעדותו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הנטענת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בהגדרה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המופיעה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שהורשע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בקשירת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הצביעו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להכרעת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ואציין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בקצרה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והמפורטים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תרגיל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המדובבים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הפעילות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חונך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לפעילים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צעירים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סרטון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ההסברה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עצורי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האידיאולוגית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במסמכי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כשבועיים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ומביע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להפיכה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יצויין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לקשירת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גזעני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ותואמות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רוססו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האידיאולוגיה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3793/18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שהוזכר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בנאשמים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שביצעו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שבמרכזן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בגוף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וברכוש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פלסטינים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חפים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ממניעים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אידיאולוגיים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72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שבפנינו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מורשע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בביצוע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חריג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בחומרתו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ובתוצאותיו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באירוע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מוכיח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בהכרח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מחויבותו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והזדהותו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67" w:right="0" w:hanging="567"/>
        <w:jc w:val="both"/>
        <w:rPr>
          <w:rFonts w:ascii="David" w:cs="David" w:eastAsia="David" w:hAnsi="David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המפורט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אציע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לחבריי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להרכב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לזכות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מעבירת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החברות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המיוחסת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באישום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מחמת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הספק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AE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bidi w:val="1"/>
        <w:spacing w:line="360" w:lineRule="auto"/>
        <w:rPr>
          <w:rFonts w:ascii="David" w:cs="David" w:eastAsia="David" w:hAnsi="David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bidi w:val="1"/>
        <w:spacing w:line="360" w:lineRule="auto"/>
        <w:rPr>
          <w:rFonts w:ascii="David" w:cs="David" w:eastAsia="David" w:hAnsi="David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bidi w:val="1"/>
        <w:spacing w:line="360" w:lineRule="auto"/>
        <w:rPr>
          <w:rFonts w:ascii="David" w:cs="David" w:eastAsia="David" w:hAnsi="David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bidi w:val="1"/>
        <w:spacing w:line="360" w:lineRule="auto"/>
        <w:rPr>
          <w:rFonts w:ascii="David" w:cs="David" w:eastAsia="David" w:hAnsi="David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bidi w:val="1"/>
        <w:spacing w:line="360" w:lineRule="auto"/>
        <w:rPr>
          <w:rFonts w:ascii="David" w:cs="David" w:eastAsia="David" w:hAnsi="David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bidi w:val="1"/>
        <w:spacing w:line="360" w:lineRule="auto"/>
        <w:rPr>
          <w:rFonts w:ascii="David" w:cs="David" w:eastAsia="David" w:hAnsi="David"/>
          <w:b w:val="1"/>
          <w:sz w:val="28"/>
          <w:szCs w:val="28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השופט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צבי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דותן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3B5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מסכים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3B6">
      <w:pPr>
        <w:bidi w:val="1"/>
        <w:spacing w:line="360" w:lineRule="auto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bidi w:val="1"/>
        <w:spacing w:line="360" w:lineRule="auto"/>
        <w:rPr>
          <w:rFonts w:ascii="David" w:cs="David" w:eastAsia="David" w:hAnsi="David"/>
          <w:b w:val="1"/>
          <w:sz w:val="28"/>
          <w:szCs w:val="28"/>
          <w:u w:val="single"/>
        </w:rPr>
      </w:pPr>
      <w:bookmarkStart w:colFirst="0" w:colLast="0" w:name="_z337ya" w:id="18"/>
      <w:bookmarkEnd w:id="18"/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השופטת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דבורה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עטר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3B8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מסכימה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3B9">
      <w:pPr>
        <w:bidi w:val="1"/>
        <w:spacing w:line="360" w:lineRule="auto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bidi w:val="1"/>
        <w:spacing w:line="360" w:lineRule="auto"/>
        <w:rPr>
          <w:rFonts w:ascii="David" w:cs="David" w:eastAsia="David" w:hAnsi="David"/>
          <w:b w:val="1"/>
        </w:rPr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לפיכך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מזכים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הנאשם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מחמת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הספק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מהעבירה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טרור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נושא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ומרשיעים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בשלוש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רצח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שתי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ניסיון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רצח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שתי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עבירות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הצתה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ועבירה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קשירת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פשע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ממניע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גזעני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נושא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האישום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.</w:t>
      </w:r>
    </w:p>
    <w:p w:rsidR="00000000" w:rsidDel="00000000" w:rsidP="00000000" w:rsidRDefault="00000000" w:rsidRPr="00000000" w14:paraId="000003BB">
      <w:pPr>
        <w:bidi w:val="1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bidi w:val="1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bidi w:val="1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ניתנה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אייר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תש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rtl w:val="1"/>
        </w:rPr>
        <w:t xml:space="preserve">, 18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2020,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במעמד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3BE">
      <w:pPr>
        <w:tabs>
          <w:tab w:val="left" w:pos="2553"/>
        </w:tabs>
        <w:bidi w:val="1"/>
        <w:ind w:left="5040" w:firstLine="0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3BF">
      <w:pPr>
        <w:bidi w:val="1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260.0" w:type="dxa"/>
        <w:jc w:val="left"/>
        <w:tblInd w:w="-5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420"/>
        <w:gridCol w:w="3420"/>
        <w:gridCol w:w="3420"/>
        <w:tblGridChange w:id="0">
          <w:tblGrid>
            <w:gridCol w:w="3420"/>
            <w:gridCol w:w="3420"/>
            <w:gridCol w:w="3420"/>
          </w:tblGrid>
        </w:tblGridChange>
      </w:tblGrid>
      <w:tr>
        <w:tc>
          <w:tcPr/>
          <w:p w:rsidR="00000000" w:rsidDel="00000000" w:rsidP="00000000" w:rsidRDefault="00000000" w:rsidRPr="00000000" w14:paraId="000003C0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</w:rPr>
              <w:drawing>
                <wp:inline distB="0" distT="0" distL="0" distR="0">
                  <wp:extent cx="1695450" cy="8572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857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bidi w:val="1"/>
              <w:spacing w:line="360" w:lineRule="auto"/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</w:rPr>
              <w:drawing>
                <wp:inline distB="0" distT="0" distL="0" distR="0">
                  <wp:extent cx="1400175" cy="600075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</w:rPr>
              <w:drawing>
                <wp:inline distB="0" distT="0" distL="0" distR="0">
                  <wp:extent cx="1371600" cy="10668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4">
            <w:pPr>
              <w:bidi w:val="1"/>
              <w:spacing w:line="360" w:lineRule="auto"/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רות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לורך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שופטת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-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נשיאה</w:t>
            </w:r>
          </w:p>
        </w:tc>
        <w:tc>
          <w:tcPr/>
          <w:p w:rsidR="00000000" w:rsidDel="00000000" w:rsidP="00000000" w:rsidRDefault="00000000" w:rsidRPr="00000000" w14:paraId="000003C5">
            <w:pPr>
              <w:bidi w:val="1"/>
              <w:spacing w:line="360" w:lineRule="auto"/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צבי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דותן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שופט</w:t>
            </w:r>
          </w:p>
        </w:tc>
        <w:tc>
          <w:tcPr/>
          <w:p w:rsidR="00000000" w:rsidDel="00000000" w:rsidP="00000000" w:rsidRDefault="00000000" w:rsidRPr="00000000" w14:paraId="000003C6">
            <w:pPr>
              <w:bidi w:val="1"/>
              <w:spacing w:line="360" w:lineRule="auto"/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דבורה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עטר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שופטת</w:t>
            </w:r>
          </w:p>
        </w:tc>
      </w:tr>
    </w:tbl>
    <w:p w:rsidR="00000000" w:rsidDel="00000000" w:rsidP="00000000" w:rsidRDefault="00000000" w:rsidRPr="00000000" w14:paraId="000003C7">
      <w:pPr>
        <w:tabs>
          <w:tab w:val="left" w:pos="2553"/>
        </w:tabs>
        <w:bidi w:val="1"/>
        <w:ind w:left="5040" w:firstLine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40" w:w="11907"/>
      <w:pgMar w:bottom="1440" w:top="1440" w:left="1800" w:right="1800" w:header="72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David"/>
  <w:font w:name="Calibri"/>
  <w:font w:name="Times New Roman"/>
  <w:font w:name="Century"/>
  <w:font w:name="Bodoni"/>
  <w:font w:name="Taho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מתוך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374015" cy="469265"/>
          <wp:effectExtent b="0" l="0" r="0" t="0"/>
          <wp:docPr descr="ישראל - המנורה - 2" id="4" name="image4.png"/>
          <a:graphic>
            <a:graphicData uri="http://schemas.openxmlformats.org/drawingml/2006/picture">
              <pic:pic>
                <pic:nvPicPr>
                  <pic:cNvPr descr="ישראל - המנורה - 2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4015" cy="469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3"/>
      <w:bidiVisual w:val="1"/>
      <w:tblW w:w="8307.0" w:type="dxa"/>
      <w:jc w:val="center"/>
      <w:tblLayout w:type="fixed"/>
      <w:tblLook w:val="0000"/>
    </w:tblPr>
    <w:tblGrid>
      <w:gridCol w:w="4813"/>
      <w:gridCol w:w="3494"/>
      <w:tblGridChange w:id="0">
        <w:tblGrid>
          <w:gridCol w:w="4813"/>
          <w:gridCol w:w="3494"/>
        </w:tblGrid>
      </w:tblGridChange>
    </w:tblGrid>
    <w:tr>
      <w:trPr>
        <w:trHeight w:val="704" w:hRule="atLeast"/>
      </w:trPr>
      <w:tc>
        <w:tcPr>
          <w:gridSpan w:val="2"/>
        </w:tcPr>
        <w:p w:rsidR="00000000" w:rsidDel="00000000" w:rsidP="00000000" w:rsidRDefault="00000000" w:rsidRPr="00000000" w14:paraId="000003C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bidi w:val="1"/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8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8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בית</w:t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8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8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המשפט</w:t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8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8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המחוזי</w:t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8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8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מרכז</w:t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8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-</w:t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8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לוד</w:t>
          </w:r>
        </w:p>
      </w:tc>
    </w:tr>
    <w:tr>
      <w:trPr>
        <w:trHeight w:val="337" w:hRule="atLeast"/>
      </w:trPr>
      <w:tc>
        <w:tcPr/>
        <w:p w:rsidR="00000000" w:rsidDel="00000000" w:rsidP="00000000" w:rsidRDefault="00000000" w:rsidRPr="00000000" w14:paraId="000003CB">
          <w:pPr>
            <w:bidi w:val="1"/>
            <w:rPr>
              <w:b w:val="1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3C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bidi w:val="1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337" w:hRule="atLeast"/>
      </w:trPr>
      <w:tc>
        <w:tcPr>
          <w:gridSpan w:val="2"/>
        </w:tcPr>
        <w:p w:rsidR="00000000" w:rsidDel="00000000" w:rsidP="00000000" w:rsidRDefault="00000000" w:rsidRPr="00000000" w14:paraId="000003CD">
          <w:pPr>
            <w:bidi w:val="1"/>
            <w:rPr>
              <w:b w:val="1"/>
              <w:sz w:val="26"/>
              <w:szCs w:val="26"/>
            </w:rPr>
          </w:pPr>
          <w:r w:rsidDel="00000000" w:rsidR="00000000" w:rsidRPr="00000000">
            <w:rPr>
              <w:b w:val="1"/>
              <w:sz w:val="26"/>
              <w:szCs w:val="26"/>
              <w:rtl w:val="1"/>
            </w:rPr>
            <w:t xml:space="preserve">תפ</w:t>
          </w:r>
          <w:r w:rsidDel="00000000" w:rsidR="00000000" w:rsidRPr="00000000">
            <w:rPr>
              <w:b w:val="1"/>
              <w:sz w:val="26"/>
              <w:szCs w:val="26"/>
              <w:rtl w:val="1"/>
            </w:rPr>
            <w:t xml:space="preserve">"</w:t>
          </w:r>
          <w:r w:rsidDel="00000000" w:rsidR="00000000" w:rsidRPr="00000000">
            <w:rPr>
              <w:b w:val="1"/>
              <w:sz w:val="26"/>
              <w:szCs w:val="26"/>
              <w:rtl w:val="1"/>
            </w:rPr>
            <w:t xml:space="preserve">ח</w:t>
          </w:r>
          <w:r w:rsidDel="00000000" w:rsidR="00000000" w:rsidRPr="00000000">
            <w:rPr>
              <w:b w:val="1"/>
              <w:sz w:val="26"/>
              <w:szCs w:val="26"/>
              <w:rtl w:val="1"/>
            </w:rPr>
            <w:t xml:space="preserve"> 932-01-16 </w:t>
          </w:r>
          <w:r w:rsidDel="00000000" w:rsidR="00000000" w:rsidRPr="00000000">
            <w:rPr>
              <w:b w:val="1"/>
              <w:sz w:val="26"/>
              <w:szCs w:val="26"/>
              <w:rtl w:val="1"/>
            </w:rPr>
            <w:t xml:space="preserve">מדינת</w:t>
          </w:r>
          <w:r w:rsidDel="00000000" w:rsidR="00000000" w:rsidRPr="00000000">
            <w:rPr>
              <w:b w:val="1"/>
              <w:sz w:val="26"/>
              <w:szCs w:val="26"/>
              <w:rtl w:val="1"/>
            </w:rPr>
            <w:t xml:space="preserve"> </w:t>
          </w:r>
          <w:r w:rsidDel="00000000" w:rsidR="00000000" w:rsidRPr="00000000">
            <w:rPr>
              <w:b w:val="1"/>
              <w:sz w:val="26"/>
              <w:szCs w:val="26"/>
              <w:rtl w:val="1"/>
            </w:rPr>
            <w:t xml:space="preserve">ישראל</w:t>
          </w:r>
          <w:r w:rsidDel="00000000" w:rsidR="00000000" w:rsidRPr="00000000">
            <w:rPr>
              <w:b w:val="1"/>
              <w:sz w:val="26"/>
              <w:szCs w:val="26"/>
              <w:rtl w:val="1"/>
            </w:rPr>
            <w:t xml:space="preserve"> </w:t>
          </w:r>
          <w:r w:rsidDel="00000000" w:rsidR="00000000" w:rsidRPr="00000000">
            <w:rPr>
              <w:b w:val="1"/>
              <w:sz w:val="26"/>
              <w:szCs w:val="26"/>
              <w:rtl w:val="1"/>
            </w:rPr>
            <w:t xml:space="preserve">נ</w:t>
          </w:r>
          <w:r w:rsidDel="00000000" w:rsidR="00000000" w:rsidRPr="00000000">
            <w:rPr>
              <w:b w:val="1"/>
              <w:sz w:val="26"/>
              <w:szCs w:val="26"/>
              <w:rtl w:val="1"/>
            </w:rPr>
            <w:t xml:space="preserve">' </w:t>
          </w:r>
          <w:r w:rsidDel="00000000" w:rsidR="00000000" w:rsidRPr="00000000">
            <w:rPr>
              <w:b w:val="1"/>
              <w:sz w:val="26"/>
              <w:szCs w:val="26"/>
              <w:rtl w:val="1"/>
            </w:rPr>
            <w:t xml:space="preserve">בן</w:t>
          </w:r>
          <w:r w:rsidDel="00000000" w:rsidR="00000000" w:rsidRPr="00000000">
            <w:rPr>
              <w:b w:val="1"/>
              <w:sz w:val="26"/>
              <w:szCs w:val="26"/>
              <w:rtl w:val="1"/>
            </w:rPr>
            <w:t xml:space="preserve"> </w:t>
          </w:r>
          <w:r w:rsidDel="00000000" w:rsidR="00000000" w:rsidRPr="00000000">
            <w:rPr>
              <w:b w:val="1"/>
              <w:sz w:val="26"/>
              <w:szCs w:val="26"/>
              <w:rtl w:val="1"/>
            </w:rPr>
            <w:t xml:space="preserve">אוליאל</w:t>
          </w:r>
          <w:r w:rsidDel="00000000" w:rsidR="00000000" w:rsidRPr="00000000">
            <w:rPr>
              <w:b w:val="1"/>
              <w:sz w:val="26"/>
              <w:szCs w:val="26"/>
              <w:rtl w:val="1"/>
            </w:rPr>
            <w:t xml:space="preserve">(</w:t>
          </w:r>
          <w:r w:rsidDel="00000000" w:rsidR="00000000" w:rsidRPr="00000000">
            <w:rPr>
              <w:b w:val="1"/>
              <w:sz w:val="26"/>
              <w:szCs w:val="26"/>
              <w:rtl w:val="1"/>
            </w:rPr>
            <w:t xml:space="preserve">עציר</w:t>
          </w:r>
          <w:r w:rsidDel="00000000" w:rsidR="00000000" w:rsidRPr="00000000">
            <w:rPr>
              <w:b w:val="1"/>
              <w:sz w:val="26"/>
              <w:szCs w:val="26"/>
              <w:rtl w:val="1"/>
            </w:rPr>
            <w:t xml:space="preserve">) </w:t>
          </w:r>
          <w:r w:rsidDel="00000000" w:rsidR="00000000" w:rsidRPr="00000000">
            <w:rPr>
              <w:b w:val="1"/>
              <w:sz w:val="26"/>
              <w:szCs w:val="26"/>
              <w:rtl w:val="1"/>
            </w:rPr>
            <w:t xml:space="preserve">ואח</w:t>
          </w:r>
          <w:r w:rsidDel="00000000" w:rsidR="00000000" w:rsidRPr="00000000">
            <w:rPr>
              <w:b w:val="1"/>
              <w:sz w:val="26"/>
              <w:szCs w:val="26"/>
              <w:rtl w:val="1"/>
            </w:rPr>
            <w:t xml:space="preserve">'</w:t>
          </w:r>
        </w:p>
        <w:p w:rsidR="00000000" w:rsidDel="00000000" w:rsidP="00000000" w:rsidRDefault="00000000" w:rsidRPr="00000000" w14:paraId="000003CE">
          <w:pPr>
            <w:bidi w:val="1"/>
            <w:rPr>
              <w:b w:val="1"/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3CF">
          <w:pPr>
            <w:bidi w:val="1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3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180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(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567" w:hanging="567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(%1)"/>
      <w:lvlJc w:val="left"/>
      <w:pPr>
        <w:ind w:left="1578" w:hanging="360"/>
      </w:pPr>
      <w:rPr>
        <w:rFonts w:ascii="David" w:cs="David" w:eastAsia="David" w:hAnsi="David"/>
      </w:rPr>
    </w:lvl>
    <w:lvl w:ilvl="1">
      <w:start w:val="1"/>
      <w:numFmt w:val="lowerLetter"/>
      <w:lvlText w:val="%2."/>
      <w:lvlJc w:val="left"/>
      <w:pPr>
        <w:ind w:left="2298" w:hanging="360"/>
      </w:pPr>
      <w:rPr/>
    </w:lvl>
    <w:lvl w:ilvl="2">
      <w:start w:val="1"/>
      <w:numFmt w:val="lowerRoman"/>
      <w:lvlText w:val="%3."/>
      <w:lvlJc w:val="right"/>
      <w:pPr>
        <w:ind w:left="3018" w:hanging="180"/>
      </w:pPr>
      <w:rPr/>
    </w:lvl>
    <w:lvl w:ilvl="3">
      <w:start w:val="1"/>
      <w:numFmt w:val="decimal"/>
      <w:lvlText w:val="%4."/>
      <w:lvlJc w:val="left"/>
      <w:pPr>
        <w:ind w:left="3738" w:hanging="360"/>
      </w:pPr>
      <w:rPr/>
    </w:lvl>
    <w:lvl w:ilvl="4">
      <w:start w:val="1"/>
      <w:numFmt w:val="lowerLetter"/>
      <w:lvlText w:val="%5."/>
      <w:lvlJc w:val="left"/>
      <w:pPr>
        <w:ind w:left="4458" w:hanging="360"/>
      </w:pPr>
      <w:rPr/>
    </w:lvl>
    <w:lvl w:ilvl="5">
      <w:start w:val="1"/>
      <w:numFmt w:val="lowerRoman"/>
      <w:lvlText w:val="%6."/>
      <w:lvlJc w:val="right"/>
      <w:pPr>
        <w:ind w:left="5178" w:hanging="180"/>
      </w:pPr>
      <w:rPr/>
    </w:lvl>
    <w:lvl w:ilvl="6">
      <w:start w:val="1"/>
      <w:numFmt w:val="decimal"/>
      <w:lvlText w:val="%7."/>
      <w:lvlJc w:val="left"/>
      <w:pPr>
        <w:ind w:left="5898" w:hanging="360"/>
      </w:pPr>
      <w:rPr/>
    </w:lvl>
    <w:lvl w:ilvl="7">
      <w:start w:val="1"/>
      <w:numFmt w:val="lowerLetter"/>
      <w:lvlText w:val="%8."/>
      <w:lvlJc w:val="left"/>
      <w:pPr>
        <w:ind w:left="6618" w:hanging="360"/>
      </w:pPr>
      <w:rPr/>
    </w:lvl>
    <w:lvl w:ilvl="8">
      <w:start w:val="1"/>
      <w:numFmt w:val="lowerRoman"/>
      <w:lvlText w:val="%9."/>
      <w:lvlJc w:val="right"/>
      <w:pPr>
        <w:ind w:left="733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  <w:jc w:val="both"/>
    </w:pPr>
    <w:rPr>
      <w:rFonts w:ascii="Cambria" w:cs="Cambria" w:eastAsia="Cambria" w:hAnsi="Cambria"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  <w:jc w:val="both"/>
    </w:pPr>
    <w:rPr>
      <w:rFonts w:ascii="Cambria" w:cs="Cambria" w:eastAsia="Cambria" w:hAnsi="Cambria"/>
      <w:sz w:val="26"/>
      <w:szCs w:val="26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="259" w:lineRule="auto"/>
      <w:jc w:val="both"/>
    </w:pPr>
    <w:rPr>
      <w:rFonts w:ascii="Cambria" w:cs="Cambria" w:eastAsia="Cambria" w:hAnsi="Cambria"/>
      <w:u w:val="single"/>
    </w:rPr>
  </w:style>
  <w:style w:type="paragraph" w:styleId="Heading4">
    <w:name w:val="heading 4"/>
    <w:basedOn w:val="Normal"/>
    <w:next w:val="Normal"/>
    <w:pPr>
      <w:keepNext w:val="1"/>
      <w:ind w:left="5760" w:firstLine="72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bidi w:val="1"/>
      <w:jc w:val="righ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bidi w:val="1"/>
      <w:jc w:val="righ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